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41F5A" w14:textId="782536F7" w:rsidR="009303D9" w:rsidRPr="005A1397" w:rsidRDefault="00507111" w:rsidP="00D10A93">
      <w:pPr>
        <w:pStyle w:val="papertitle"/>
        <w:spacing w:after="0"/>
        <w:rPr>
          <w:noProof w:val="0"/>
        </w:rPr>
      </w:pPr>
      <w:r w:rsidRPr="00507111">
        <w:rPr>
          <w:noProof w:val="0"/>
          <w:sz w:val="32"/>
        </w:rPr>
        <w:t xml:space="preserve">Reliability of Radiomic Features Against Noise in the Use of Daubechies Wavelet Derived Features in CT-Based Liver </w:t>
      </w:r>
      <w:r w:rsidR="00023DA2">
        <w:rPr>
          <w:noProof w:val="0"/>
          <w:sz w:val="32"/>
        </w:rPr>
        <w:t>Tumor</w:t>
      </w:r>
    </w:p>
    <w:p w14:paraId="2623B004" w14:textId="77777777" w:rsidR="00D7522C" w:rsidRPr="005A1397" w:rsidRDefault="00D7522C" w:rsidP="003B4E04">
      <w:pPr>
        <w:pStyle w:val="Author"/>
        <w:spacing w:before="100" w:beforeAutospacing="1" w:after="100" w:afterAutospacing="1" w:line="120" w:lineRule="auto"/>
        <w:rPr>
          <w:noProof w:val="0"/>
          <w:sz w:val="16"/>
          <w:szCs w:val="16"/>
        </w:rPr>
      </w:pPr>
    </w:p>
    <w:p w14:paraId="422447B8" w14:textId="77777777" w:rsidR="00186E7B" w:rsidRDefault="00186E7B" w:rsidP="00186E7B">
      <w:pPr>
        <w:pStyle w:val="Author"/>
        <w:spacing w:before="100" w:beforeAutospacing="1" w:after="100" w:afterAutospacing="1" w:line="120" w:lineRule="auto"/>
        <w:rPr>
          <w:noProof w:val="0"/>
          <w:sz w:val="16"/>
          <w:szCs w:val="16"/>
        </w:rPr>
        <w:sectPr w:rsidR="00186E7B" w:rsidSect="008A254E">
          <w:headerReference w:type="default" r:id="rId8"/>
          <w:footerReference w:type="default" r:id="rId9"/>
          <w:headerReference w:type="first" r:id="rId10"/>
          <w:footerReference w:type="first" r:id="rId11"/>
          <w:pgSz w:w="11906" w:h="16838" w:code="9"/>
          <w:pgMar w:top="1701" w:right="1134" w:bottom="1134" w:left="1134" w:header="283" w:footer="720" w:gutter="0"/>
          <w:cols w:space="720"/>
          <w:titlePg/>
          <w:docGrid w:linePitch="360"/>
        </w:sectPr>
      </w:pPr>
    </w:p>
    <w:p w14:paraId="04E03584" w14:textId="77777777" w:rsidR="00D7522C" w:rsidRPr="005A1397" w:rsidRDefault="00D7522C" w:rsidP="00186E7B">
      <w:pPr>
        <w:pStyle w:val="Author"/>
        <w:spacing w:before="100" w:beforeAutospacing="1" w:after="100" w:afterAutospacing="1" w:line="120" w:lineRule="auto"/>
        <w:rPr>
          <w:noProof w:val="0"/>
          <w:sz w:val="16"/>
          <w:szCs w:val="16"/>
        </w:rPr>
        <w:sectPr w:rsidR="00D7522C" w:rsidRPr="005A1397" w:rsidSect="00186E7B">
          <w:type w:val="continuous"/>
          <w:pgSz w:w="11906" w:h="16838" w:code="9"/>
          <w:pgMar w:top="1701" w:right="1134" w:bottom="1134" w:left="1134" w:header="283" w:footer="720" w:gutter="0"/>
          <w:cols w:space="720"/>
          <w:titlePg/>
          <w:docGrid w:linePitch="360"/>
        </w:sectPr>
      </w:pPr>
    </w:p>
    <w:p w14:paraId="6A8C568E" w14:textId="2ECB4EFC" w:rsidR="00507111" w:rsidRDefault="00507111" w:rsidP="00507111">
      <w:pPr>
        <w:pStyle w:val="Author"/>
        <w:spacing w:before="0" w:after="0"/>
        <w:rPr>
          <w:noProof w:val="0"/>
          <w:sz w:val="18"/>
          <w:szCs w:val="18"/>
        </w:rPr>
      </w:pPr>
      <w:r>
        <w:rPr>
          <w:noProof w:val="0"/>
          <w:sz w:val="18"/>
          <w:szCs w:val="18"/>
        </w:rPr>
        <w:t>Rasyida Shabihah Zukro Aini</w:t>
      </w:r>
      <w:r w:rsidRPr="005A1397">
        <w:rPr>
          <w:noProof w:val="0"/>
          <w:sz w:val="18"/>
          <w:szCs w:val="18"/>
        </w:rPr>
        <w:t xml:space="preserve"> </w:t>
      </w:r>
    </w:p>
    <w:p w14:paraId="48A1E706" w14:textId="6E3387F0" w:rsidR="00CB223C" w:rsidRDefault="00CB223C" w:rsidP="00507111">
      <w:pPr>
        <w:pStyle w:val="Author"/>
        <w:spacing w:before="0" w:after="0"/>
        <w:rPr>
          <w:noProof w:val="0"/>
          <w:sz w:val="18"/>
          <w:szCs w:val="18"/>
        </w:rPr>
      </w:pPr>
      <w:r>
        <w:rPr>
          <w:noProof w:val="0"/>
          <w:sz w:val="18"/>
          <w:szCs w:val="18"/>
        </w:rPr>
        <w:t>Electrical Engineering Department</w:t>
      </w:r>
    </w:p>
    <w:p w14:paraId="49F2F0A2" w14:textId="10677667" w:rsidR="00CB223C" w:rsidRPr="005A1397" w:rsidRDefault="00CB223C" w:rsidP="00507111">
      <w:pPr>
        <w:pStyle w:val="Author"/>
        <w:spacing w:before="0" w:after="0"/>
        <w:rPr>
          <w:noProof w:val="0"/>
          <w:sz w:val="18"/>
          <w:szCs w:val="18"/>
        </w:rPr>
      </w:pPr>
      <w:r>
        <w:rPr>
          <w:noProof w:val="0"/>
          <w:sz w:val="18"/>
          <w:szCs w:val="18"/>
        </w:rPr>
        <w:t>University of PGRI Adi Buana</w:t>
      </w:r>
    </w:p>
    <w:p w14:paraId="24E164E6" w14:textId="77777777" w:rsidR="00507111" w:rsidRPr="005A1397" w:rsidRDefault="00507111" w:rsidP="00507111">
      <w:pPr>
        <w:pStyle w:val="Author"/>
        <w:spacing w:before="0" w:after="0"/>
        <w:rPr>
          <w:noProof w:val="0"/>
          <w:sz w:val="18"/>
          <w:szCs w:val="18"/>
        </w:rPr>
      </w:pPr>
      <w:r>
        <w:rPr>
          <w:noProof w:val="0"/>
          <w:sz w:val="18"/>
          <w:szCs w:val="18"/>
        </w:rPr>
        <w:t>Surabaya</w:t>
      </w:r>
      <w:r w:rsidRPr="005A1397">
        <w:rPr>
          <w:noProof w:val="0"/>
          <w:sz w:val="18"/>
          <w:szCs w:val="18"/>
        </w:rPr>
        <w:t xml:space="preserve">, </w:t>
      </w:r>
      <w:r>
        <w:rPr>
          <w:noProof w:val="0"/>
          <w:sz w:val="18"/>
          <w:szCs w:val="18"/>
        </w:rPr>
        <w:t>Indonesia</w:t>
      </w:r>
    </w:p>
    <w:p w14:paraId="75E880D3" w14:textId="77777777" w:rsidR="00507111" w:rsidRPr="005A1397" w:rsidRDefault="00507111" w:rsidP="00507111">
      <w:pPr>
        <w:pStyle w:val="Author"/>
        <w:spacing w:before="0" w:after="0"/>
        <w:rPr>
          <w:noProof w:val="0"/>
          <w:sz w:val="18"/>
          <w:szCs w:val="18"/>
        </w:rPr>
      </w:pPr>
      <w:r>
        <w:rPr>
          <w:noProof w:val="0"/>
          <w:sz w:val="18"/>
          <w:szCs w:val="18"/>
        </w:rPr>
        <w:t>Rasyidashabihah@gmail.com</w:t>
      </w:r>
    </w:p>
    <w:p w14:paraId="1E3071BB" w14:textId="1554A00A" w:rsidR="00BD670B" w:rsidRPr="005A1397" w:rsidRDefault="00BD670B" w:rsidP="005A1397">
      <w:pPr>
        <w:pStyle w:val="Author"/>
        <w:spacing w:before="0" w:after="0"/>
        <w:rPr>
          <w:noProof w:val="0"/>
          <w:sz w:val="18"/>
          <w:szCs w:val="18"/>
        </w:rPr>
      </w:pPr>
    </w:p>
    <w:p w14:paraId="3D3860FE" w14:textId="77777777" w:rsidR="00507111" w:rsidRPr="005A1397" w:rsidRDefault="00BD670B" w:rsidP="00507111">
      <w:pPr>
        <w:pStyle w:val="Author"/>
        <w:spacing w:before="0" w:after="0"/>
        <w:rPr>
          <w:noProof w:val="0"/>
          <w:sz w:val="18"/>
          <w:szCs w:val="18"/>
        </w:rPr>
      </w:pPr>
      <w:r w:rsidRPr="005A1397">
        <w:rPr>
          <w:noProof w:val="0"/>
          <w:sz w:val="18"/>
          <w:szCs w:val="18"/>
        </w:rPr>
        <w:br w:type="column"/>
      </w:r>
      <w:r w:rsidR="00507111">
        <w:rPr>
          <w:noProof w:val="0"/>
          <w:sz w:val="18"/>
          <w:szCs w:val="18"/>
        </w:rPr>
        <w:t>Ira Puspasari</w:t>
      </w:r>
      <w:r w:rsidR="00507111" w:rsidRPr="005A1397">
        <w:rPr>
          <w:noProof w:val="0"/>
          <w:sz w:val="18"/>
          <w:szCs w:val="18"/>
        </w:rPr>
        <w:t xml:space="preserve"> </w:t>
      </w:r>
    </w:p>
    <w:p w14:paraId="36EDCDC9" w14:textId="6FBCA006" w:rsidR="00507111" w:rsidRPr="005A1397" w:rsidRDefault="00507111" w:rsidP="00507111">
      <w:pPr>
        <w:pStyle w:val="Author"/>
        <w:spacing w:before="0" w:after="0"/>
        <w:rPr>
          <w:noProof w:val="0"/>
          <w:sz w:val="18"/>
          <w:szCs w:val="18"/>
        </w:rPr>
      </w:pPr>
      <w:r>
        <w:rPr>
          <w:noProof w:val="0"/>
          <w:sz w:val="18"/>
          <w:szCs w:val="18"/>
        </w:rPr>
        <w:t>Computer System Department</w:t>
      </w:r>
      <w:r w:rsidRPr="005A1397">
        <w:rPr>
          <w:noProof w:val="0"/>
          <w:sz w:val="18"/>
          <w:szCs w:val="18"/>
        </w:rPr>
        <w:t xml:space="preserve"> </w:t>
      </w:r>
    </w:p>
    <w:p w14:paraId="5BFC65DE" w14:textId="15F4F6D0" w:rsidR="00507111" w:rsidRPr="005A1397" w:rsidRDefault="00507111" w:rsidP="00507111">
      <w:pPr>
        <w:pStyle w:val="Author"/>
        <w:spacing w:before="0" w:after="0"/>
        <w:rPr>
          <w:noProof w:val="0"/>
          <w:sz w:val="18"/>
          <w:szCs w:val="18"/>
        </w:rPr>
      </w:pPr>
      <w:r>
        <w:rPr>
          <w:noProof w:val="0"/>
          <w:sz w:val="18"/>
          <w:szCs w:val="18"/>
        </w:rPr>
        <w:t>Dinamika</w:t>
      </w:r>
      <w:r w:rsidR="005343F4">
        <w:rPr>
          <w:noProof w:val="0"/>
          <w:sz w:val="18"/>
          <w:szCs w:val="18"/>
        </w:rPr>
        <w:t xml:space="preserve"> University</w:t>
      </w:r>
      <w:r w:rsidRPr="005A1397">
        <w:rPr>
          <w:noProof w:val="0"/>
          <w:sz w:val="18"/>
          <w:szCs w:val="18"/>
        </w:rPr>
        <w:t xml:space="preserve"> </w:t>
      </w:r>
    </w:p>
    <w:p w14:paraId="7CDCEB48" w14:textId="77777777" w:rsidR="00507111" w:rsidRPr="005A1397" w:rsidRDefault="00507111" w:rsidP="00507111">
      <w:pPr>
        <w:pStyle w:val="Author"/>
        <w:spacing w:before="0" w:after="0"/>
        <w:rPr>
          <w:noProof w:val="0"/>
          <w:sz w:val="18"/>
          <w:szCs w:val="18"/>
        </w:rPr>
      </w:pPr>
      <w:r>
        <w:rPr>
          <w:noProof w:val="0"/>
          <w:sz w:val="18"/>
          <w:szCs w:val="18"/>
        </w:rPr>
        <w:t>Surabaya</w:t>
      </w:r>
      <w:r w:rsidRPr="005A1397">
        <w:rPr>
          <w:noProof w:val="0"/>
          <w:sz w:val="18"/>
          <w:szCs w:val="18"/>
        </w:rPr>
        <w:t xml:space="preserve">, </w:t>
      </w:r>
      <w:r>
        <w:rPr>
          <w:noProof w:val="0"/>
          <w:sz w:val="18"/>
          <w:szCs w:val="18"/>
        </w:rPr>
        <w:t>Indonesia</w:t>
      </w:r>
    </w:p>
    <w:p w14:paraId="423B301A" w14:textId="77777777" w:rsidR="00507111" w:rsidRPr="005A1397" w:rsidRDefault="00507111" w:rsidP="00507111">
      <w:pPr>
        <w:pStyle w:val="Author"/>
        <w:spacing w:before="0" w:after="0"/>
        <w:rPr>
          <w:noProof w:val="0"/>
          <w:sz w:val="18"/>
          <w:szCs w:val="18"/>
        </w:rPr>
      </w:pPr>
      <w:r>
        <w:rPr>
          <w:noProof w:val="0"/>
          <w:sz w:val="18"/>
          <w:szCs w:val="18"/>
        </w:rPr>
        <w:t>ira@stikom.edu</w:t>
      </w:r>
      <w:r w:rsidRPr="005A1397">
        <w:rPr>
          <w:noProof w:val="0"/>
          <w:sz w:val="18"/>
          <w:szCs w:val="18"/>
        </w:rPr>
        <w:t xml:space="preserve">  </w:t>
      </w:r>
    </w:p>
    <w:p w14:paraId="698C2982" w14:textId="73B13487" w:rsidR="00447BB9" w:rsidRPr="005A1397" w:rsidRDefault="00447BB9" w:rsidP="00507111">
      <w:pPr>
        <w:pStyle w:val="Author"/>
        <w:spacing w:before="0" w:after="0"/>
        <w:rPr>
          <w:noProof w:val="0"/>
          <w:sz w:val="18"/>
          <w:szCs w:val="18"/>
        </w:rPr>
      </w:pPr>
      <w:r w:rsidRPr="005A1397">
        <w:rPr>
          <w:noProof w:val="0"/>
          <w:sz w:val="18"/>
          <w:szCs w:val="18"/>
        </w:rPr>
        <w:t xml:space="preserve"> </w:t>
      </w:r>
      <w:r w:rsidR="00B768D1" w:rsidRPr="005A1397">
        <w:rPr>
          <w:noProof w:val="0"/>
          <w:sz w:val="18"/>
          <w:szCs w:val="18"/>
        </w:rPr>
        <w:t xml:space="preserve"> </w:t>
      </w:r>
    </w:p>
    <w:p w14:paraId="41215650" w14:textId="77777777" w:rsidR="00BC1997" w:rsidRDefault="00BC1997" w:rsidP="00186E7B">
      <w:pPr>
        <w:spacing w:before="100" w:beforeAutospacing="1" w:after="100" w:afterAutospacing="1" w:line="120" w:lineRule="auto"/>
        <w:sectPr w:rsidR="00BC1997" w:rsidSect="00BC1997">
          <w:type w:val="continuous"/>
          <w:pgSz w:w="11906" w:h="16838" w:code="9"/>
          <w:pgMar w:top="450" w:right="893" w:bottom="1440" w:left="893" w:header="720" w:footer="720" w:gutter="0"/>
          <w:cols w:num="2" w:space="720"/>
          <w:docGrid w:linePitch="360"/>
        </w:sectPr>
      </w:pPr>
    </w:p>
    <w:p w14:paraId="36F91F18" w14:textId="77777777" w:rsidR="009303D9" w:rsidRPr="005A1397" w:rsidRDefault="009303D9" w:rsidP="00186E7B">
      <w:pPr>
        <w:spacing w:before="100" w:beforeAutospacing="1" w:after="100" w:afterAutospacing="1" w:line="120" w:lineRule="auto"/>
        <w:sectPr w:rsidR="009303D9" w:rsidRPr="005A1397" w:rsidSect="00BC1997">
          <w:type w:val="continuous"/>
          <w:pgSz w:w="11906" w:h="16838" w:code="9"/>
          <w:pgMar w:top="450" w:right="893" w:bottom="1440" w:left="893" w:header="720" w:footer="720" w:gutter="0"/>
          <w:cols w:num="2" w:space="720"/>
          <w:docGrid w:linePitch="360"/>
        </w:sectPr>
      </w:pPr>
    </w:p>
    <w:p w14:paraId="0E2AA201" w14:textId="56DDC624" w:rsidR="005A1397" w:rsidRPr="005A1397" w:rsidRDefault="005A1397" w:rsidP="005A1397">
      <w:pPr>
        <w:pStyle w:val="Abstract"/>
        <w:rPr>
          <w:i/>
          <w:iCs/>
        </w:rPr>
      </w:pPr>
      <w:r w:rsidRPr="005A1397">
        <w:rPr>
          <w:i/>
          <w:iCs/>
        </w:rPr>
        <w:t>Abstract</w:t>
      </w:r>
      <w:r w:rsidRPr="005A1397">
        <w:t>—</w:t>
      </w:r>
      <w:r w:rsidR="00507111">
        <w:t>T</w:t>
      </w:r>
      <w:r w:rsidR="00507111" w:rsidRPr="00507111">
        <w:t xml:space="preserve">here are still many challenges in the field of radiomics, especially sensitivity which is influenced by many factors, one of which is noise. The large amount of bias noise that occurs reduces the performance of the diagnosis, perhaps because it does not involve wavelet derived features. The wavelet derived feature is believed to be more resistant to noise interference in the image. </w:t>
      </w:r>
      <w:r w:rsidR="00023DA2" w:rsidRPr="00023DA2">
        <w:t>So</w:t>
      </w:r>
      <w:r w:rsidR="00023DA2">
        <w:t xml:space="preserve">, </w:t>
      </w:r>
      <w:r w:rsidR="00023DA2" w:rsidRPr="00023DA2">
        <w:t>the proposed use of wavelet derived features accompanied by a comparative review of its effectiveness with the use of traditional radiomic features is implemented in this study.</w:t>
      </w:r>
      <w:r w:rsidR="00507111" w:rsidRPr="00507111">
        <w:t xml:space="preserve"> In this study, two liver tumor datasets were used, namely LiTS17 and 3D-IRCADb-01 data to test the reliability of features in different data. The two data are given the same treatment, namely by adding interference to the CT image by setting the SNR indicator. The label used is limited to the tumor part, the liver parenchyma is not included, so for LiTS17 a thresholding label is done first. CT images and tumor labels extracted data from traditional radiomic features and wavelet-derived radiomic features (Daubechies level 1). </w:t>
      </w:r>
      <w:r w:rsidR="00023DA2" w:rsidRPr="00023DA2">
        <w:t>The statistical approach uses the ICC method in assessing agreement between observers.</w:t>
      </w:r>
      <w:r w:rsidR="00023DA2">
        <w:t xml:space="preserve"> </w:t>
      </w:r>
      <w:r w:rsidR="00507111" w:rsidRPr="00507111">
        <w:t>As a result, of the six feature groups (</w:t>
      </w:r>
      <w:r w:rsidR="00023DA2">
        <w:t>First-o</w:t>
      </w:r>
      <w:r w:rsidR="00507111" w:rsidRPr="00507111">
        <w:t xml:space="preserve">rder, GLCM, GLSZM, GLDM, NGTDM, GLRLM) only NGTDM features are more effective on wavelet derived features. Whereas in the main LiTS17 data, the wavelet derived features do not have a major effect, traditional radiomic features sufficiently show ICC values in the good to </w:t>
      </w:r>
      <w:r w:rsidR="00B17147">
        <w:t xml:space="preserve">excellent </w:t>
      </w:r>
      <w:r w:rsidR="00507111" w:rsidRPr="00507111">
        <w:t>category.</w:t>
      </w:r>
    </w:p>
    <w:p w14:paraId="1495C261" w14:textId="3EA8BE3C" w:rsidR="005A1397" w:rsidRPr="005A1397" w:rsidRDefault="005A1397" w:rsidP="005A1397">
      <w:pPr>
        <w:pStyle w:val="Keywords"/>
      </w:pPr>
      <w:r w:rsidRPr="005A1397">
        <w:t>Keywords—</w:t>
      </w:r>
      <w:r w:rsidR="00D230F6">
        <w:t>Radiomic Features, Daubechies Wavelet, White Noise, Liver Tumor.</w:t>
      </w:r>
    </w:p>
    <w:p w14:paraId="504EB7B0" w14:textId="7141D9F3" w:rsidR="005A1397" w:rsidRPr="005A1397" w:rsidRDefault="005A1397" w:rsidP="005A1397">
      <w:pPr>
        <w:pStyle w:val="Heading1"/>
        <w:rPr>
          <w:noProof w:val="0"/>
        </w:rPr>
      </w:pPr>
      <w:r w:rsidRPr="005A1397">
        <w:rPr>
          <w:noProof w:val="0"/>
        </w:rPr>
        <w:t xml:space="preserve">Introduction </w:t>
      </w:r>
    </w:p>
    <w:p w14:paraId="3984F0C1" w14:textId="4F5DB5D0" w:rsidR="002C6FCE" w:rsidRDefault="00D230F6" w:rsidP="002C6FCE">
      <w:pPr>
        <w:pStyle w:val="BodyText"/>
        <w:rPr>
          <w:lang w:val="en-US"/>
        </w:rPr>
      </w:pPr>
      <w:r w:rsidRPr="00D230F6">
        <w:rPr>
          <w:lang w:val="en-US"/>
        </w:rPr>
        <w:t xml:space="preserve">The future development of the medical world is not only based on the diagnosis of a disease, but also individual-based treatment. So that quantitative analysis of big data and the use of Artificial Intelligence (AI) is very often used, including radiology data which generally has image coverage from 2D to 4D. Radiomic is a process used to extract quantitative properties (features) of an image or a certain Region of Interest (ROI) obtained from an image </w:t>
      </w:r>
      <w:r w:rsidR="00330996">
        <w:rPr>
          <w:lang w:val="en-US"/>
        </w:rPr>
        <w:fldChar w:fldCharType="begin" w:fldLock="1"/>
      </w:r>
      <w:r w:rsidR="00330996">
        <w:rPr>
          <w:lang w:val="en-US"/>
        </w:rPr>
        <w:instrText>ADDIN CSL_CITATION {"citationItems":[{"id":"ITEM-1","itemData":{"DOI":"10.1016/j.breast.2019.10.018","ISSN":"15323080","PMID":"31739125","abstract":"Diagnosis of early invasive breast cancer relies on radiology and clinical evaluation, supplemented by biopsy confirmation. At least three issues burden this approach: a) suboptimal sensitivity and suboptimal positive predictive power of radiology screening and diagnostic approaches, respectively; b) invasiveness of biopsy with discomfort for women undergoing diagnostic tests; c) long turnaround time for recall tests. In the screening setting, radiology sensitivity is suboptimal, and when a suspicious lesion is detected and a biopsy is recommended, the positive predictive value of radiology is modest. Recent technological advances in medical imaging, especially in the field of artificial intelligence applied to image analysis, hold promise in addressing clinical challenges in cancer detection, assessment of treatment response, and monitoring disease progression. Radiomics include feature extraction from clinical images; these features are related to tumor size, shape, intensity, and texture, collectively providing comprehensive tumor characterization, the so-called radiomics signature of the tumor. Radiomics is based on the hypothesis that extracted quantitative data derives from mechanisms occurring at genetic and molecular levels. In this article we focus on the role and potential of radiomics in breast cancer diagnosis and prognostication.","author":[{"dropping-particle":"","family":"Tagliafico","given":"Alberto Stefano","non-dropping-particle":"","parse-names":false,"suffix":""},{"dropping-particle":"","family":"Piana","given":"Michele","non-dropping-particle":"","parse-names":false,"suffix":""},{"dropping-particle":"","family":"Schenone","given":"Daniela","non-dropping-particle":"","parse-names":false,"suffix":""},{"dropping-particle":"","family":"Lai","given":"Rita","non-dropping-particle":"","parse-names":false,"suffix":""},{"dropping-particle":"","family":"Massone","given":"Anna Maria","non-dropping-particle":"","parse-names":false,"suffix":""},{"dropping-particle":"","family":"Houssami","given":"Nehmat","non-dropping-particle":"","parse-names":false,"suffix":""}],"container-title":"Breast","id":"ITEM-1","issued":{"date-parts":[["2020"]]},"page":"74-80","title":"Overview of radiomics in breast cancer diagnosis and prognostication","type":"article-journal","volume":"49"},"uris":["http://www.mendeley.com/documents/?uuid=86f33e07-bbd9-4f2c-97b5-0e819d3b5f86"]}],"mendeley":{"formattedCitation":"[1]","plainTextFormattedCitation":"[1]","previouslyFormattedCitation":"[1]"},"properties":{"noteIndex":0},"schema":"https://github.com/citation-style-language/schema/raw/master/csl-citation.json"}</w:instrText>
      </w:r>
      <w:r w:rsidR="00330996">
        <w:rPr>
          <w:lang w:val="en-US"/>
        </w:rPr>
        <w:fldChar w:fldCharType="separate"/>
      </w:r>
      <w:r w:rsidR="00330996" w:rsidRPr="00330996">
        <w:rPr>
          <w:noProof/>
          <w:lang w:val="en-US"/>
        </w:rPr>
        <w:t>[1]</w:t>
      </w:r>
      <w:r w:rsidR="00330996">
        <w:rPr>
          <w:lang w:val="en-US"/>
        </w:rPr>
        <w:fldChar w:fldCharType="end"/>
      </w:r>
      <w:r w:rsidRPr="00D230F6">
        <w:rPr>
          <w:lang w:val="en-US"/>
        </w:rPr>
        <w:t xml:space="preserve">. </w:t>
      </w:r>
      <w:r w:rsidR="00023DA2" w:rsidRPr="00023DA2">
        <w:rPr>
          <w:lang w:val="en-US"/>
        </w:rPr>
        <w:t>Through pattern recognition algorithms, these features are extracted producing a series of numbers that represent a quantitative description of geometric or physical properties, such as in the field of oncology, tumors are classified based on size, shape, intensity and texture.</w:t>
      </w:r>
    </w:p>
    <w:p w14:paraId="76E9BA78" w14:textId="3062BB2F" w:rsidR="005A1397" w:rsidRDefault="00D86B45" w:rsidP="002C6FCE">
      <w:pPr>
        <w:pStyle w:val="BodyText"/>
        <w:rPr>
          <w:lang w:val="en-US"/>
        </w:rPr>
      </w:pPr>
      <w:r w:rsidRPr="00D86B45">
        <w:rPr>
          <w:lang w:val="en-US"/>
        </w:rPr>
        <w:t xml:space="preserve">However, one of the biggest challenges in radiomics is sensitivity. There are many influencing factors including image acquisition, reconstruction, and pre-processing. Other things that also influence are the segmentation results in the part being reviewed and noise interference which </w:t>
      </w:r>
      <w:r w:rsidRPr="00D86B45">
        <w:rPr>
          <w:lang w:val="en-US"/>
        </w:rPr>
        <w:t>reduces image sharpness. The findings of A. Somasundaram et al stated that the Positron Emission Tomography (PET) image acquisition modality is a modality that is sensitive to noise, due to the low Signal-to-Noise Ratio (SNR) which not only affects the precision but also the accuracy of quantitative metric results, thereby biasing the results. due to noise [2]. Meanwhile, another modality that is commonly used as a standardized modality in cancer management, namely computerized tomography (CT), also has weaknesses related to noise. Hassan et al in testing the radiomic features of head/neck cancer provided evidence that almost all types of features, namely Laws' Texture Information (LAWS), Long Gray Level Run (GLRL), Intensity Based Histogram (IBHF), Two-Dimensional Wavelet Transform ( 2DWT), and Two Dimensional Gabor Filter (2DGF) are also affected by noise (especially the Gaussian type which has a cut-off frequency greater than the Nyquist frequency) [3].</w:t>
      </w:r>
      <w:r>
        <w:rPr>
          <w:lang w:val="en-US"/>
        </w:rPr>
        <w:t xml:space="preserve"> </w:t>
      </w:r>
      <w:r w:rsidR="002C6FCE" w:rsidRPr="002C6FCE">
        <w:rPr>
          <w:rFonts w:hint="eastAsia"/>
          <w:lang w:val="en-US"/>
        </w:rPr>
        <w:t>Anot</w:t>
      </w:r>
      <w:r w:rsidR="002C6FCE" w:rsidRPr="002C6FCE">
        <w:rPr>
          <w:lang w:val="en-US"/>
        </w:rPr>
        <w:t xml:space="preserve">her study involving CT modality, namely from our previous study, related to the analysis of radiomic features in the diagnosis of liver tumors with different segmentation ROI </w:t>
      </w:r>
      <w:r w:rsidR="00330996">
        <w:rPr>
          <w:lang w:val="en-US"/>
        </w:rPr>
        <w:fldChar w:fldCharType="begin" w:fldLock="1"/>
      </w:r>
      <w:r w:rsidR="00330996">
        <w:rPr>
          <w:lang w:val="en-US"/>
        </w:rPr>
        <w:instrText>ADDIN CSL_CITATION {"citationItems":[{"id":"ITEM-1","itemData":{"DOI":"10.1016/j.ijrobp.2017.06.225","ISSN":"03603016","abstract":"Purpose/Objective(s): We investigated the effect of image quality on textural features extracted from planning CT (pCT) and cone beam CT (CBCT) image datasets acquired for 18 oropharyngeal cancer patients treated with fractionated radiation therapy. Images were subjected to smoothing, sharpening, and noise to evaluate changes in features relative to baseline datasets. Purpose/Objective(s): Radiomics features were extracted from tumor volumes, contoured on pCT and CBCT images, according to the following 8 different classes: Intensity Histogram Based Features (IHBF), Gray Level Run Length (GLRL), Law's Textural information (LAWS), Discrete Orthonormal Stockwell Transform (DOST), Local Binary Pattern (LBP), Two-Dimensional Wavelet Transform (2DWT), Two Dimensional Gabor Filter (2DGF), and Gray Level Co-Occurrence Matrix (GLCM). A total of 165 radiomics features were extracted. Images were post-processed prior to feature extraction using a Gaussian noise model with different signal-to-noise-ratios (5, 10, 15, 20, 25, 35, 50, 75, 100, and 150). Effect of noise, sharpening and smoothing on each extracted feature was quantified using mean absolute percent change (MAPC) between the respective values on post-processed and baseline images. The Fisher method for combining Welch P-values was used for tests of significance. The Holm-Bonferroni method was used for circumventing the problem of multiple comparisons. Three comparisons were investigated: 1-Baseline pCT versus modified pCT, 2-Baseline CBCT versus modified CBCT, and 3-Baseline and modified pCT versus baseline and modified CBCT. Result(s): Overall, the results of this work imply that for pCT and CBCT image modalities, the radiomics features are less influenced by low-pass filtering (MAPC = 17.5%, P = 0.93 for CBCT and MAPC = 7.5%, P = 0.98 for pCT) compared to high-pass filtering (MAPC = 187.7%, P&lt; 0.0001 for CBCT, and MAPC = 180.6%, P&lt; 0.0001 for pCT). Features extracted from CT and CBCT image datasets were robust to Gaussian noise (MAPC = 27.1%, P = 0.89 for CBCT, and MAPC = 34.6%, P = 0.61 for pCT). Features most impacted by low pass filtering were LAWS, GLRL, and IHBF for the pCT datasets, and LAWS, GLRL, and 2DGF, for CBCT image datasets. Overall, radiomics features extracted from the pCT images are more affected by Gaussian noise compared to the features extracted from the CBCT images. No significant differences were observed between radiomics features extracted from baseline pCT and CBCT image datase…","author":[{"dropping-particle":"","family":"Bagher-Ebadian","given":"H.","non-dropping-particle":"","parse-names":false,"suffix":""},{"dropping-particle":"","family":"Liu","given":"C.","non-dropping-particle":"","parse-names":false,"suffix":""},{"dropping-particle":"","family":"Siddiqui","given":"F.","non-dropping-particle":"","parse-names":false,"suffix":""},{"dropping-particle":"","family":"Movsas","given":"B.","non-dropping-particle":"","parse-names":false,"suffix":""},{"dropping-particle":"","family":"Chetty","given":"I.J.","non-dropping-particle":"","parse-names":false,"suffix":""}],"container-title":"International Journal of Radiation Oncology*Biology*Physics","id":"ITEM-1","issue":"2","issued":{"date-parts":[["2017"]]},"page":"S93","publisher":"Elsevier","title":"On the Impact of Smoothing and Noise on Robustness of CT and CBCT Radiomics Features for Patients with Head and Neck Cancers","type":"article-journal","volume":"99"},"uris":["http://www.mendeley.com/documents/?uuid=fa6e6cfe-90b4-44b7-8267-4fd85ed79b22"]}],"mendeley":{"formattedCitation":"[4]","plainTextFormattedCitation":"[4]","previouslyFormattedCitation":"[4]"},"properties":{"noteIndex":0},"schema":"https://github.com/citation-style-language/schema/raw/master/csl-citation.json"}</w:instrText>
      </w:r>
      <w:r w:rsidR="00330996">
        <w:rPr>
          <w:lang w:val="en-US"/>
        </w:rPr>
        <w:fldChar w:fldCharType="separate"/>
      </w:r>
      <w:r w:rsidR="00330996" w:rsidRPr="00330996">
        <w:rPr>
          <w:noProof/>
          <w:lang w:val="en-US"/>
        </w:rPr>
        <w:t>[4]</w:t>
      </w:r>
      <w:r w:rsidR="00330996">
        <w:rPr>
          <w:lang w:val="en-US"/>
        </w:rPr>
        <w:fldChar w:fldCharType="end"/>
      </w:r>
      <w:r w:rsidR="002C6FCE" w:rsidRPr="002C6FCE">
        <w:rPr>
          <w:lang w:val="en-US"/>
        </w:rPr>
        <w:t>. There is a weakness in the small accuracy results on some ROIs, this is thought to be due to the use of radiomic features without wavelet features.</w:t>
      </w:r>
    </w:p>
    <w:p w14:paraId="07FBA45B" w14:textId="27323032" w:rsidR="002C6FCE" w:rsidRDefault="002C6FCE" w:rsidP="002C6FCE">
      <w:pPr>
        <w:pStyle w:val="BodyText"/>
        <w:rPr>
          <w:lang w:val="en-US"/>
        </w:rPr>
      </w:pPr>
      <w:r w:rsidRPr="002C6FCE">
        <w:rPr>
          <w:lang w:val="en-US"/>
        </w:rPr>
        <w:t xml:space="preserve">The wavelet feature is believed to be more resistant to image noise. Through the use of wavelet scattering radiomic features as compared to using only traditional radiomic features, the prediction results of glioma ratings can be improved by 13% </w:t>
      </w:r>
      <w:r w:rsidR="00330996">
        <w:rPr>
          <w:lang w:val="en-US"/>
        </w:rPr>
        <w:fldChar w:fldCharType="begin" w:fldLock="1"/>
      </w:r>
      <w:r w:rsidR="00330996">
        <w:rPr>
          <w:lang w:val="en-US"/>
        </w:rPr>
        <w:instrText>ADDIN CSL_CITATION {"citationItems":[{"id":"ITEM-1","itemData":{"DOI":"10.1109/ACCESS.2020.3000895","ISSN":"21693536","abstract":"Glioma grading before surgery is very critical for the prognosis prediction and treatment plan making. We present a novel wavelet scattering-based radiomic method to predict noninvasively and accurately the glioma grades. The method consists of wavelet scattering feature extraction, dimensionality reduction, and glioma grade prediction. The dimensionality reduction was achieved using partial least squares (PLS) regression and the glioma grade prediction using support vector machine (SVM), logistic regression (LR) and random forest (RF). The prediction obtained on multimodal magnetic resonance images of 285 patients with well-labeled intratumoral and peritumoral regions showed that the area under the receiver operating characteristic curve (AUC) of glioma grade prediction was increased up to 0.99 when considering both intratumoral and peritumoral features in multimodal images, which represents an increase of about 13% compared to traditional radiomics. In addition, the features extracted from peritumoral regions further increase the accuracy of glioma grading.","author":[{"dropping-particle":"","family":"Chen","given":"Qijian","non-dropping-particle":"","parse-names":false,"suffix":""},{"dropping-particle":"","family":"Wang","given":"Lihui","non-dropping-particle":"","parse-names":false,"suffix":""},{"dropping-particle":"","family":"Wang","given":"Li","non-dropping-particle":"","parse-names":false,"suffix":""},{"dropping-particle":"","family":"Deng","given":"Zeyu","non-dropping-particle":"","parse-names":false,"suffix":""},{"dropping-particle":"","family":"Zhang","given":"Jian","non-dropping-particle":"","parse-names":false,"suffix":""},{"dropping-particle":"","family":"Zhu","given":"Yuemin","non-dropping-particle":"","parse-names":false,"suffix":""}],"container-title":"IEEE Access","id":"ITEM-1","issued":{"date-parts":[["2020"]]},"page":"106564-106575","title":"Glioma Grade Prediction Using Wavelet Scattering-Based Radiomics","type":"article-journal","volume":"8"},"uris":["http://www.mendeley.com/documents/?uuid=b90312e9-1fa4-4d11-baf6-e65a1bfa19a7"]}],"mendeley":{"formattedCitation":"[5]","plainTextFormattedCitation":"[5]","previouslyFormattedCitation":"[5]"},"properties":{"noteIndex":0},"schema":"https://github.com/citation-style-language/schema/raw/master/csl-citation.json"}</w:instrText>
      </w:r>
      <w:r w:rsidR="00330996">
        <w:rPr>
          <w:lang w:val="en-US"/>
        </w:rPr>
        <w:fldChar w:fldCharType="separate"/>
      </w:r>
      <w:r w:rsidR="00330996" w:rsidRPr="00330996">
        <w:rPr>
          <w:noProof/>
          <w:lang w:val="en-US"/>
        </w:rPr>
        <w:t>[5]</w:t>
      </w:r>
      <w:r w:rsidR="00330996">
        <w:rPr>
          <w:lang w:val="en-US"/>
        </w:rPr>
        <w:fldChar w:fldCharType="end"/>
      </w:r>
      <w:r w:rsidRPr="002C6FCE">
        <w:rPr>
          <w:lang w:val="en-US"/>
        </w:rPr>
        <w:t xml:space="preserve">. Another study </w:t>
      </w:r>
      <w:r w:rsidR="00330996">
        <w:rPr>
          <w:lang w:val="en-US"/>
        </w:rPr>
        <w:fldChar w:fldCharType="begin" w:fldLock="1"/>
      </w:r>
      <w:r w:rsidR="00330996">
        <w:rPr>
          <w:lang w:val="en-US"/>
        </w:rPr>
        <w:instrText>ADDIN CSL_CITATION {"citationItems":[{"id":"ITEM-1","itemData":{"DOI":"10.1186/s12885-020-6523-2","ISBN":"1288502065232","ISSN":"14712407","PMID":"32024483","abstract":"Background: The purpose of this study was to investigate the value of wavelet-transformed radiomic MRI in predicting the pathological complete response (pCR) to neoadjuvant chemotherapy (NAC) for patients with locally advanced breast cancer (LABC). Methods: Fifty-five female patients with LABC who underwent contrast-enhanced MRI (CE-MRI) examination prior to NAC were collected for the retrospective study. According to the pathological assessment after NAC, patient responses to NAC were categorized into pCR and non-pCR. Three groups of radiomic textures were calculated in the segmented lesions, including (1) volumetric textures, (2) peripheral textures, and (3) wavelet-transformed textures. Six models for the prediction of pCR were Model I: group (1), Model II: group (1) + (2), Model III: group (3), Model IV: group (1) + (3), Model V: group (2) + (3), and Model VI: group (1) + (2) + (3). The performance of predicting models was compared using the area under the receiver operating characteristic (ROC) curves (AUC). Results: The AUCs of the six models for the prediction of pCR were 0.816 ± 0.033 (Model I), 0.823 ± 0.020 (Model II), 0.888 ± 0.025 (Model III), 0.876 ± 0.015 (Model IV), 0.885 ± 0.030 (Model V), and 0.874 ± 0.019 (Model VI). The performance of four models with wavelet-transformed textures (Models III, IV, V, and VI) was significantly better than those without wavelet-transformed textures (Model I and II). In addition, the inclusion of volumetric textures or peripheral textures or both did not result in any improvements in performance. Conclusions: Wavelet-transformed textures outperformed volumetric and/or peripheral textures in the radiomic MRI prediction of pCR to NAC for patients with LABC, which can potentially serve as a surrogate biomarker for the prediction of the response of LABC to NAC.","author":[{"dropping-particle":"","family":"Zhou","given":"Jiali","non-dropping-particle":"","parse-names":false,"suffix":""},{"dropping-particle":"","family":"Lu","given":"Jinghui","non-dropping-particle":"","parse-names":false,"suffix":""},{"dropping-particle":"","family":"Gao","given":"Chen","non-dropping-particle":"","parse-names":false,"suffix":""},{"dropping-particle":"","family":"Zeng","given":"Jingjing","non-dropping-particle":"","parse-names":false,"suffix":""},{"dropping-particle":"","family":"Zhou","given":"Changyu","non-dropping-particle":"","parse-names":false,"suffix":""},{"dropping-particle":"","family":"Lai","given":"Xiaobo","non-dropping-particle":"","parse-names":false,"suffix":""},{"dropping-particle":"","family":"Cai","given":"Wenli","non-dropping-particle":"","parse-names":false,"suffix":""},{"dropping-particle":"","family":"Xu","given":"Maosheng","non-dropping-particle":"","parse-names":false,"suffix":""}],"container-title":"BMC Cancer","id":"ITEM-1","issue":"1","issued":{"date-parts":[["2020"]]},"page":"1-10","publisher":"BMC Cancer","title":"Predicting the response to neoadjuvant chemotherapy for breast cancer: Wavelet transforming radiomics in MRI","type":"article-journal","volume":"20"},"uris":["http://www.mendeley.com/documents/?uuid=f627e17d-9562-4640-a0c4-31f715b15092"]}],"mendeley":{"formattedCitation":"[6]","plainTextFormattedCitation":"[6]","previouslyFormattedCitation":"[6]"},"properties":{"noteIndex":0},"schema":"https://github.com/citation-style-language/schema/raw/master/csl-citation.json"}</w:instrText>
      </w:r>
      <w:r w:rsidR="00330996">
        <w:rPr>
          <w:lang w:val="en-US"/>
        </w:rPr>
        <w:fldChar w:fldCharType="separate"/>
      </w:r>
      <w:r w:rsidR="00330996" w:rsidRPr="00330996">
        <w:rPr>
          <w:noProof/>
          <w:lang w:val="en-US"/>
        </w:rPr>
        <w:t>[6]</w:t>
      </w:r>
      <w:r w:rsidR="00330996">
        <w:rPr>
          <w:lang w:val="en-US"/>
        </w:rPr>
        <w:fldChar w:fldCharType="end"/>
      </w:r>
      <w:r w:rsidRPr="002C6FCE">
        <w:rPr>
          <w:lang w:val="en-US"/>
        </w:rPr>
        <w:t xml:space="preserve"> mentioned the use of wavelet transform-based radiomic textures in estimating Pathological Complete Response (</w:t>
      </w:r>
      <w:r w:rsidR="007C0907">
        <w:rPr>
          <w:lang w:val="en-US"/>
        </w:rPr>
        <w:t>p</w:t>
      </w:r>
      <w:r w:rsidRPr="002C6FCE">
        <w:rPr>
          <w:lang w:val="en-US"/>
        </w:rPr>
        <w:t>CR) which showed no residue in breast tissue after surgery, wavelets gave better results than no small waves in radiomic texture analysis.</w:t>
      </w:r>
    </w:p>
    <w:p w14:paraId="1DAE5332" w14:textId="674B9650" w:rsidR="002C6FCE" w:rsidRDefault="002C6FCE" w:rsidP="002C6FCE">
      <w:pPr>
        <w:pStyle w:val="BodyText"/>
        <w:rPr>
          <w:lang w:val="en-US"/>
        </w:rPr>
      </w:pPr>
      <w:r w:rsidRPr="002C6FCE">
        <w:rPr>
          <w:lang w:val="en-US"/>
        </w:rPr>
        <w:t xml:space="preserve">In an effort to evaluate our previous work </w:t>
      </w:r>
      <w:r w:rsidR="00330996">
        <w:rPr>
          <w:lang w:val="en-US"/>
        </w:rPr>
        <w:fldChar w:fldCharType="begin" w:fldLock="1"/>
      </w:r>
      <w:r w:rsidR="00A1194D">
        <w:rPr>
          <w:lang w:val="en-US"/>
        </w:rPr>
        <w:instrText>ADDIN CSL_CITATION {"citationItems":[{"id":"ITEM-1","itemData":{"URL":"https://digilib.itb.ac.id/index.php/gdl/view/68643","accessed":{"date-parts":[["2023","5","12"]]},"author":[{"dropping-particle":"","family":"Aini","given":"Rasyida Shabihah Zukro","non-dropping-particle":"","parse-names":false,"suffix":""}],"id":"ITEM-1","issued":{"date-parts":[["0"]]},"title":"Digilib ITB","type":"webpage"},"uris":["http://www.mendeley.com/documents/?uuid=c388f5bc-4e8d-3bd3-b867-bb3dab713c0f"]}],"mendeley":{"formattedCitation":"[7]","plainTextFormattedCitation":"[7]","previouslyFormattedCitation":"[7]"},"properties":{"noteIndex":0},"schema":"https://github.com/citation-style-language/schema/raw/master/csl-citation.json"}</w:instrText>
      </w:r>
      <w:r w:rsidR="00330996">
        <w:rPr>
          <w:lang w:val="en-US"/>
        </w:rPr>
        <w:fldChar w:fldCharType="separate"/>
      </w:r>
      <w:r w:rsidR="00330996" w:rsidRPr="00330996">
        <w:rPr>
          <w:noProof/>
          <w:lang w:val="en-US"/>
        </w:rPr>
        <w:t>[7]</w:t>
      </w:r>
      <w:r w:rsidR="00330996">
        <w:rPr>
          <w:lang w:val="en-US"/>
        </w:rPr>
        <w:fldChar w:fldCharType="end"/>
      </w:r>
      <w:r w:rsidRPr="002C6FCE">
        <w:rPr>
          <w:lang w:val="en-US"/>
        </w:rPr>
        <w:t xml:space="preserve">, based on the fact that wavelets can improve yield in radiomic analysis, this study aims to identify the reliability of involvement of wavelet features in the diagnosis of liver tumors. This work is designed by adding noise to the dataset, then performing feature extraction using or without using radiomic features. </w:t>
      </w:r>
      <w:r w:rsidR="00D86B45" w:rsidRPr="00D86B45">
        <w:rPr>
          <w:lang w:val="en-US"/>
        </w:rPr>
        <w:t>The final step is to compare the SNR and Intraclass Correlation Coefficient (ICC) to prove the reliability of the wavelet features in the data. Testing was also performed on CT-based liver tumor data from other sources to test the unbiased reliability of the wavelet features.</w:t>
      </w:r>
    </w:p>
    <w:p w14:paraId="459C00FF" w14:textId="77777777" w:rsidR="005411C6" w:rsidRPr="005A1397" w:rsidRDefault="005411C6" w:rsidP="005411C6">
      <w:pPr>
        <w:pStyle w:val="Heading1"/>
        <w:rPr>
          <w:noProof w:val="0"/>
        </w:rPr>
      </w:pPr>
      <w:r>
        <w:rPr>
          <w:noProof w:val="0"/>
        </w:rPr>
        <w:lastRenderedPageBreak/>
        <w:t>Methods</w:t>
      </w:r>
    </w:p>
    <w:p w14:paraId="0CDF040B" w14:textId="77777777" w:rsidR="005411C6" w:rsidRPr="005A1397" w:rsidRDefault="005411C6" w:rsidP="005411C6">
      <w:pPr>
        <w:pStyle w:val="Heading2"/>
        <w:rPr>
          <w:noProof w:val="0"/>
        </w:rPr>
      </w:pPr>
      <w:r>
        <w:rPr>
          <w:noProof w:val="0"/>
        </w:rPr>
        <w:t>Dataset of Liver Tumor</w:t>
      </w:r>
      <w:r w:rsidRPr="005A1397">
        <w:rPr>
          <w:noProof w:val="0"/>
        </w:rPr>
        <w:t xml:space="preserve"> </w:t>
      </w:r>
    </w:p>
    <w:p w14:paraId="742C9685" w14:textId="2BD23A43" w:rsidR="00B17147" w:rsidRDefault="00B17147" w:rsidP="005A1397">
      <w:pPr>
        <w:pStyle w:val="BodyText"/>
        <w:rPr>
          <w:lang w:val="en-US"/>
        </w:rPr>
      </w:pPr>
      <w:r w:rsidRPr="00B17147">
        <w:rPr>
          <w:lang w:val="en-US"/>
        </w:rPr>
        <w:t xml:space="preserve">The data used are liver tumor data with computed tomography (CT) modality tested in two publicly available dataset groups namely Liver Tumor Segmentation Challenge (LiTS17) </w:t>
      </w:r>
      <w:r w:rsidR="001D68A7">
        <w:rPr>
          <w:lang w:val="en-US"/>
        </w:rPr>
        <w:fldChar w:fldCharType="begin" w:fldLock="1"/>
      </w:r>
      <w:r w:rsidR="001D68A7">
        <w:rPr>
          <w:lang w:val="en-US"/>
        </w:rPr>
        <w:instrText>ADDIN CSL_CITATION {"citationItems":[{"id":"ITEM-1","itemData":{"abstract":"In this work, we report the set-up and results of the Liver Tumor Segmentation Benchmark (LITS) organized in conjunction with the IEEE International Symposium on Biomedical Imaging (ISBI) 2016 and International Conference On Medical Image Computing Computer Assisted Intervention (MICCAI) 2017. Twenty four valid state-of-the-art liver and liver tumor segmentation algorithms were applied to a set of 131 computed tomography (CT) volumes with different types of tumor contrast levels (hyper-/hypo-intense), abnormalities in tissues (metastasectomie) size and varying amount of lesions. The submitted algorithms have been tested on 70 undisclosed volumes. The dataset is created in collaboration with seven hospitals and research institutions and manually reviewed by independent three radiologists. We found that not a single algorithm performed best for liver and tumors. The best liver segmentation algorithm achieved a Dice score of 0.96(MICCAI) whereas for tumor segmentation the best algorithm evaluated at 0.67(ISBI) and 0.70(MICCAI). The LITS image data and manual annotations continue to be publicly available through an online evaluation system as an ongoing benchmarking resource.","author":[{"dropping-particle":"","family":"Bilic","given":"Patrick","non-dropping-particle":"","parse-names":false,"suffix":""},{"dropping-particle":"","family":"Christ","given":"Patrick Ferdinand","non-dropping-particle":"","parse-names":false,"suffix":""},{"dropping-particle":"","family":"Vorontsov","given":"Eugene","non-dropping-particle":"","parse-names":false,"suffix":""},{"dropping-particle":"","family":"Chlebus","given":"Grzegorz","non-dropping-particle":"","parse-names":false,"suffix":""},{"dropping-particle":"","family":"Chen","given":"Hao","non-dropping-particle":"","parse-names":false,"suffix":""},{"dropping-particle":"","family":"Dou","given":"Qi","non-dropping-particle":"","parse-names":false,"suffix":""},{"dropping-particle":"","family":"Fu","given":"Chi-Wing","non-dropping-particle":"","parse-names":false,"suffix":""},{"dropping-particle":"","family":"Han","given":"Xiao","non-dropping-particle":"","parse-names":false,"suffix":""},{"dropping-particle":"","family":"Heng","given":"Pheng-Ann","non-dropping-particle":"","parse-names":false,"suffix":""},{"dropping-particle":"","family":"Hesser","given":"Jürgen","non-dropping-particle":"","parse-names":false,"suffix":""},{"dropping-particle":"","family":"Kadoury","given":"Samuel","non-dropping-particle":"","parse-names":false,"suffix":""},{"dropping-particle":"","family":"Konopczynski","given":"Tomasz","non-dropping-particle":"","parse-names":false,"suffix":""},{"dropping-particle":"","family":"Le","given":"Miao","non-dropping-particle":"","parse-names":false,"suffix":""},{"dropping-particle":"","family":"Li","given":"Chunming","non-dropping-particle":"","parse-names":false,"suffix":""},{"dropping-particle":"","family":"Li","given":"Xiaomeng","non-dropping-particle":"","parse-names":false,"suffix":""},{"dropping-particle":"","family":"Lipkovà","given":"Jana","non-dropping-particle":"","parse-names":false,"suffix":""},{"dropping-particle":"","family":"Lowengrub","given":"John","non-dropping-particle":"","parse-names":false,"suffix":""},{"dropping-particle":"","family":"Meine","given":"Hans","non-dropping-particle":"","parse-names":false,"suffix":""},{"dropping-particle":"","family":"Moltz","given":"Jan Hendrik","non-dropping-particle":"","parse-names":false,"suffix":""},{"dropping-particle":"","family":"Pal","given":"Chris","non-dropping-particle":"","parse-names":false,"suffix":""},{"dropping-particle":"","family":"Piraud","given":"Marie","non-dropping-particle":"","parse-names":false,"suffix":""},{"dropping-particle":"","family":"Qi","given":"Xiaojuan","non-dropping-particle":"","parse-names":false,"suffix":""},{"dropping-particle":"","family":"Qi","given":"Jin","non-dropping-particle":"","parse-names":false,"suffix":""},{"dropping-particle":"","family":"Rempfler","given":"Markus","non-dropping-particle":"","parse-names":false,"suffix":""},{"dropping-particle":"","family":"Roth","given":"Karsten","non-dropping-particle":"","parse-names":false,"suffix":""},{"dropping-particle":"","family":"Schenk","given":"Andrea","non-dropping-particle":"","parse-names":false,"suffix":""},{"dropping-particle":"","family":"Sekuboyina","given":"Anjany","non-dropping-particle":"","parse-names":false,"suffix":""},{"dropping-particle":"","family":"Vorontsov","given":"Eugene","non-dropping-particle":"","parse-names":false,"suffix":""},{"dropping-particle":"","family":"Zhou","given":"Ping","non-dropping-particle":"","parse-names":false,"suffix":""},{"dropping-particle":"","family":"Hülsemeyer","given":"Christian","non-dropping-particle":"","parse-names":false,"suffix":""},{"dropping-particle":"","family":"Beetz","given":"Marcel","non-dropping-particle":"","parse-names":false,"suffix":""},{"dropping-particle":"","family":"Ettlinger","given":"Florian","non-dropping-particle":"","parse-names":false,"suffix":""},{"dropping-particle":"","family":"Gruen","given":"Felix","non-dropping-particle":"","parse-names":false,"suffix":""},{"dropping-particle":"","family":"Kaissis","given":"Georgios","non-dropping-particle":"","parse-names":false,"suffix":""},{"dropping-particle":"","family":"Lohöfer","given":"Fabian","non-dropping-particle":"","parse-names":false,"suffix":""},{"dropping-particle":"","family":"Braren","given":"Rickmer","non-dropping-particle":"","parse-names":false,"suffix":""},{"dropping-particle":"","family":"Holch","given":"Julian","non-dropping-particle":"","parse-names":false,"suffix":""},{"dropping-particle":"","family":"Hofmann","given":"Felix","non-dropping-particle":"","parse-names":false,"suffix":""},{"dropping-particle":"","family":"Sommer","given":"Wieland","non-dropping-particle":"","parse-names":false,"suffix":""},{"dropping-particle":"","family":"Heinemann","given":"Volker","non-dropping-particle":"","parse-names":false,"suffix":""},{"dropping-particle":"","family":"Jacobs","given":"Colin","non-dropping-particle":"","parse-names":false,"suffix":""},{"dropping-particle":"","family":"Mamani","given":"Gabriel Efrain Humpire","non-dropping-particle":"","parse-names":false,"suffix":""},{"dropping-particle":"","family":"Ginneken","given":"Bram","non-dropping-particle":"van","parse-names":false,"suffix":""},{"dropping-particle":"","family":"Chartrand","given":"Gabriel","non-dropping-particle":"","parse-names":false,"suffix":""},{"dropping-particle":"","family":"Tang","given":"An","non-dropping-particle":"","parse-names":false,"suffix":""},{"dropping-particle":"","family":"Drozdzal","given":"Michal","non-dropping-particle":"","parse-names":false,"suffix":""},{"dropping-particle":"","family":"Ben-Cohen","given":"Avi","non-dropping-particle":"","parse-names":false,"suffix":""},{"dropping-particle":"","family":"Klang","given":"Eyal","non-dropping-particle":"","parse-names":false,"suffix":""},{"dropping-particle":"","family":"Amitai","given":"Marianne M.","non-dropping-particle":"","parse-names":false,"suffix":""},{"dropping-particle":"","family":"Konen","given":"Eli","non-dropping-particle":"","parse-names":false,"suffix":""},{"dropping-particle":"","family":"Greenspan","given":"Hayit","non-dropping-particle":"","parse-names":false,"suffix":""},{"dropping-particle":"","family":"Moreau","given":"Johan","non-dropping-particle":"","parse-names":false,"suffix":""},{"dropping-particle":"","family":"Hostettler","given":"Alexandre","non-dropping-particle":"","parse-names":false,"suffix":""},{"dropping-particle":"","family":"Soler","given":"Luc","non-dropping-particle":"","parse-names":false,"suffix":""},{"dropping-particle":"","family":"Vivanti","given":"Refael","non-dropping-particle":"","parse-names":false,"suffix":""},{"dropping-particle":"","family":"Szeskin","given":"Adi","non-dropping-particle":"","parse-names":false,"suffix":""},{"dropping-particle":"","family":"Lev-Cohain","given":"Naama","non-dropping-particle":"","parse-names":false,"suffix":""},{"dropping-particle":"","family":"Sosna","given":"Jacob","non-dropping-particle":"","parse-names":false,"suffix":""},{"dropping-particle":"","family":"Joskowicz","given":"Leo","non-dropping-particle":"","parse-names":false,"suffix":""},{"dropping-particle":"","family":"Menze","given":"Bjoern H.","non-dropping-particle":"","parse-names":false,"suffix":""}],"id":"ITEM-1","issue":"January","issued":{"date-parts":[["2019"]]},"title":"The Liver Tumor Segmentation Benchmark (LiTS)","type":"article-journal"},"uris":["http://www.mendeley.com/documents/?uuid=3cb6fc4c-fdde-47aa-aa50-03b3de4c6dd9"]}],"mendeley":{"formattedCitation":"[8]","plainTextFormattedCitation":"[8]","previouslyFormattedCitation":"[8]"},"properties":{"noteIndex":0},"schema":"https://github.com/citation-style-language/schema/raw/master/csl-citation.json"}</w:instrText>
      </w:r>
      <w:r w:rsidR="001D68A7">
        <w:rPr>
          <w:lang w:val="en-US"/>
        </w:rPr>
        <w:fldChar w:fldCharType="separate"/>
      </w:r>
      <w:r w:rsidR="001D68A7" w:rsidRPr="001D68A7">
        <w:rPr>
          <w:noProof/>
          <w:lang w:val="en-US"/>
        </w:rPr>
        <w:t>[8]</w:t>
      </w:r>
      <w:r w:rsidR="001D68A7">
        <w:rPr>
          <w:lang w:val="en-US"/>
        </w:rPr>
        <w:fldChar w:fldCharType="end"/>
      </w:r>
      <w:r w:rsidRPr="00B17147">
        <w:rPr>
          <w:lang w:val="en-US"/>
        </w:rPr>
        <w:t xml:space="preserve"> and 3D Image Reconstruction for Algorithmic Database Comparison (3D-IRCADb-01) </w:t>
      </w:r>
      <w:r w:rsidR="001D68A7">
        <w:rPr>
          <w:lang w:val="en-US"/>
        </w:rPr>
        <w:fldChar w:fldCharType="begin" w:fldLock="1"/>
      </w:r>
      <w:r w:rsidR="001D68A7">
        <w:rPr>
          <w:lang w:val="en-US"/>
        </w:rPr>
        <w:instrText>ADDIN CSL_CITATION {"citationItems":[{"id":"ITEM-1","itemData":{"author":[{"dropping-particle":"","family":"Soler","given":"Luc","non-dropping-particle":"","parse-names":false,"suffix":""},{"dropping-particle":"","family":"Hostettler","given":"Alexandre","non-dropping-particle":"","parse-names":false,"suffix":""},{"dropping-particle":"","family":"Agnus","given":"Vincent","non-dropping-particle":"","parse-names":false,"suffix":""},{"dropping-particle":"","family":"Charnoz","given":"Arnaud","non-dropping-particle":"","parse-names":false,"suffix":""},{"dropping-particle":"","family":"Fasquel","given":"Jean-baptiste","non-dropping-particle":"","parse-names":false,"suffix":""},{"dropping-particle":"","family":"Moreau","given":"Johan","non-dropping-particle":"","parse-names":false,"suffix":""},{"dropping-particle":"","family":"Osswald","given":"Anne-blandine","non-dropping-particle":"","parse-names":false,"suffix":""},{"dropping-particle":"","family":"Bouhadjar","given":"Mourad","non-dropping-particle":"","parse-names":false,"suffix":""},{"dropping-particle":"","family":"Marescaux","given":"Jacques","non-dropping-particle":"","parse-names":false,"suffix":""}],"id":"ITEM-1","issued":{"date-parts":[["2010"]]},"page":"67091","title":"3D Image Reconstruction for Comparison of Algorithm Database: a Patient-Specific Anatomical and Medical Image Database","type":"article-journal"},"uris":["http://www.mendeley.com/documents/?uuid=5382f7c2-2b1a-4324-9e57-72db1c4c6be9"]}],"mendeley":{"formattedCitation":"[9]","plainTextFormattedCitation":"[9]","previouslyFormattedCitation":"[9]"},"properties":{"noteIndex":0},"schema":"https://github.com/citation-style-language/schema/raw/master/csl-citation.json"}</w:instrText>
      </w:r>
      <w:r w:rsidR="001D68A7">
        <w:rPr>
          <w:lang w:val="en-US"/>
        </w:rPr>
        <w:fldChar w:fldCharType="separate"/>
      </w:r>
      <w:r w:rsidR="001D68A7" w:rsidRPr="001D68A7">
        <w:rPr>
          <w:noProof/>
          <w:lang w:val="en-US"/>
        </w:rPr>
        <w:t>[9]</w:t>
      </w:r>
      <w:r w:rsidR="001D68A7">
        <w:rPr>
          <w:lang w:val="en-US"/>
        </w:rPr>
        <w:fldChar w:fldCharType="end"/>
      </w:r>
      <w:r w:rsidRPr="00B17147">
        <w:rPr>
          <w:lang w:val="en-US"/>
        </w:rPr>
        <w:t>.</w:t>
      </w:r>
      <w:r>
        <w:rPr>
          <w:lang w:val="en-US"/>
        </w:rPr>
        <w:t xml:space="preserve"> </w:t>
      </w:r>
    </w:p>
    <w:p w14:paraId="47DDE362" w14:textId="2DB43B35" w:rsidR="00B17147" w:rsidRDefault="00B17147" w:rsidP="005A1397">
      <w:pPr>
        <w:pStyle w:val="BodyText"/>
        <w:rPr>
          <w:lang w:val="en-US"/>
        </w:rPr>
      </w:pPr>
      <w:r w:rsidRPr="00B17147">
        <w:rPr>
          <w:lang w:val="en-US"/>
        </w:rPr>
        <w:t xml:space="preserve">The first data, LiTS17 as in previous studies </w:t>
      </w:r>
      <w:r w:rsidR="001D68A7">
        <w:rPr>
          <w:lang w:val="en-US"/>
        </w:rPr>
        <w:fldChar w:fldCharType="begin" w:fldLock="1"/>
      </w:r>
      <w:r w:rsidR="001D68A7">
        <w:rPr>
          <w:lang w:val="en-US"/>
        </w:rPr>
        <w:instrText>ADDIN CSL_CITATION {"citationItems":[{"id":"ITEM-1","itemData":{"URL":"https://digilib.itb.ac.id/index.php/gdl/view/68643","accessed":{"date-parts":[["2023","5","12"]]},"author":[{"dropping-particle":"","family":"Aini","given":"Rasyida Shabihah Zukro","non-dropping-particle":"","parse-names":false,"suffix":""}],"id":"ITEM-1","issued":{"date-parts":[["0"]]},"title":"Digilib ITB","type":"webpage"},"uris":["http://www.mendeley.com/documents/?uuid=c388f5bc-4e8d-3bd3-b867-bb3dab713c0f"]}],"mendeley":{"formattedCitation":"[7]","plainTextFormattedCitation":"[7]","previouslyFormattedCitation":"[7]"},"properties":{"noteIndex":0},"schema":"https://github.com/citation-style-language/schema/raw/master/csl-citation.json"}</w:instrText>
      </w:r>
      <w:r w:rsidR="001D68A7">
        <w:rPr>
          <w:lang w:val="en-US"/>
        </w:rPr>
        <w:fldChar w:fldCharType="separate"/>
      </w:r>
      <w:r w:rsidR="001D68A7" w:rsidRPr="001D68A7">
        <w:rPr>
          <w:noProof/>
          <w:lang w:val="en-US"/>
        </w:rPr>
        <w:t>[7]</w:t>
      </w:r>
      <w:r w:rsidR="001D68A7">
        <w:rPr>
          <w:lang w:val="en-US"/>
        </w:rPr>
        <w:fldChar w:fldCharType="end"/>
      </w:r>
      <w:r w:rsidRPr="00B17147">
        <w:rPr>
          <w:lang w:val="en-US"/>
        </w:rPr>
        <w:t xml:space="preserve"> consisted of 130 subjects from various types of liver tumors, ranging from primary tumors such as HCC and secondary tumors as well as metastases originating from colorectal, breast and lung cancer. Images were acquired from a variety of CT modalities and acquisition protocols. The number of tumors varied from 0 to 12. The actual data label consisted of the liver parenchyma and tumor sections. In this study, restrictions were applied to using only the first 20 subjects and tumor labels only to prevent bias towards the second data to be used as test-retest data.</w:t>
      </w:r>
    </w:p>
    <w:p w14:paraId="358C99DC" w14:textId="0C5D1339" w:rsidR="005A1397" w:rsidRDefault="00B17147" w:rsidP="005A1397">
      <w:pPr>
        <w:pStyle w:val="BodyText"/>
        <w:rPr>
          <w:lang w:val="en-US"/>
        </w:rPr>
      </w:pPr>
      <w:r w:rsidRPr="00B17147">
        <w:rPr>
          <w:lang w:val="en-US"/>
        </w:rPr>
        <w:t>The second data, 3D-IRCADb-01 consisted of 20 subjects, 10 women and 10 men with a percentage of 75% suffering from liver tumors. The labels in this data are only part of the tumor. The two data did not go through the pre-processing stage at all, so the review was only focused on adding disturbances.</w:t>
      </w:r>
      <w:r w:rsidR="005A1397" w:rsidRPr="005A1397">
        <w:rPr>
          <w:lang w:val="en-US"/>
        </w:rPr>
        <w:t xml:space="preserve"> </w:t>
      </w:r>
    </w:p>
    <w:p w14:paraId="6DF75C6B" w14:textId="08AA044C" w:rsidR="005A1397" w:rsidRPr="005A1397" w:rsidRDefault="00181BBC" w:rsidP="005A1397">
      <w:pPr>
        <w:pStyle w:val="Heading2"/>
        <w:rPr>
          <w:noProof w:val="0"/>
        </w:rPr>
      </w:pPr>
      <w:r>
        <w:rPr>
          <w:noProof w:val="0"/>
        </w:rPr>
        <w:t>Noise Additional</w:t>
      </w:r>
    </w:p>
    <w:p w14:paraId="09C7BBE2" w14:textId="0345062F" w:rsidR="00C30FF1" w:rsidRDefault="005411C6" w:rsidP="00C30FF1">
      <w:pPr>
        <w:pStyle w:val="BodyText"/>
        <w:rPr>
          <w:lang w:val="en-US"/>
        </w:rPr>
      </w:pPr>
      <w:r w:rsidRPr="005A1397">
        <w:rPr>
          <w:noProof/>
        </w:rPr>
        <mc:AlternateContent>
          <mc:Choice Requires="wps">
            <w:drawing>
              <wp:anchor distT="0" distB="0" distL="114300" distR="114300" simplePos="0" relativeHeight="251659776" behindDoc="0" locked="0" layoutInCell="1" allowOverlap="1" wp14:anchorId="3F9C2549" wp14:editId="58FE128F">
                <wp:simplePos x="0" y="0"/>
                <wp:positionH relativeFrom="column">
                  <wp:posOffset>13335</wp:posOffset>
                </wp:positionH>
                <wp:positionV relativeFrom="paragraph">
                  <wp:posOffset>1604645</wp:posOffset>
                </wp:positionV>
                <wp:extent cx="6159500" cy="3105150"/>
                <wp:effectExtent l="0" t="0" r="0" b="0"/>
                <wp:wrapTopAndBottom/>
                <wp:docPr id="1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3105150"/>
                        </a:xfrm>
                        <a:prstGeom prst="rect">
                          <a:avLst/>
                        </a:prstGeom>
                        <a:solidFill>
                          <a:srgbClr val="FFFFFF"/>
                        </a:solidFill>
                        <a:ln w="9525">
                          <a:noFill/>
                          <a:miter lim="800000"/>
                          <a:headEnd/>
                          <a:tailEnd/>
                        </a:ln>
                      </wps:spPr>
                      <wps:txbx>
                        <w:txbxContent>
                          <w:p w14:paraId="13C9FB38" w14:textId="77777777" w:rsidR="00046778" w:rsidRPr="00F06A68" w:rsidRDefault="00046778" w:rsidP="00046778">
                            <w:pPr>
                              <w:pStyle w:val="BodyText"/>
                              <w:ind w:firstLine="0"/>
                              <w:jc w:val="center"/>
                              <w:rPr>
                                <w:b/>
                                <w:bCs/>
                                <w:noProof/>
                                <w:lang w:val="en-US"/>
                              </w:rPr>
                            </w:pPr>
                            <w:r w:rsidRPr="00F06A68">
                              <w:rPr>
                                <w:b/>
                                <w:bCs/>
                                <w:noProof/>
                                <w:lang w:val="en-US"/>
                              </w:rPr>
                              <w:t>SNR 30%                    SNR 50%                      SNR 80%                     SNR 90%                   Original</w:t>
                            </w:r>
                          </w:p>
                          <w:p w14:paraId="46B753DB" w14:textId="77777777" w:rsidR="00046778" w:rsidRPr="00F06A68" w:rsidRDefault="00046778" w:rsidP="00046778">
                            <w:pPr>
                              <w:pStyle w:val="BodyText"/>
                              <w:ind w:firstLine="0"/>
                              <w:jc w:val="center"/>
                              <w:rPr>
                                <w:lang w:val="en-US"/>
                              </w:rPr>
                            </w:pPr>
                            <w:r w:rsidRPr="00F06A68">
                              <w:rPr>
                                <w:noProof/>
                              </w:rPr>
                              <w:drawing>
                                <wp:inline distT="0" distB="0" distL="0" distR="0" wp14:anchorId="1ABAAF70" wp14:editId="06E92A11">
                                  <wp:extent cx="1097280" cy="10972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39FF8181" wp14:editId="1A17F59A">
                                  <wp:extent cx="1097280" cy="10972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2435D037" wp14:editId="3F819B75">
                                  <wp:extent cx="1097280" cy="1097280"/>
                                  <wp:effectExtent l="0" t="0" r="762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6A35AA4C" wp14:editId="27D31ACD">
                                  <wp:extent cx="1097280" cy="1097280"/>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68B7E13E" wp14:editId="7148FF42">
                                  <wp:extent cx="1097280" cy="1097280"/>
                                  <wp:effectExtent l="0" t="0" r="762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p>
                          <w:p w14:paraId="0218E176" w14:textId="77777777" w:rsidR="00046778" w:rsidRPr="00F06A68" w:rsidRDefault="00046778" w:rsidP="00046778">
                            <w:pPr>
                              <w:pStyle w:val="BodyText"/>
                              <w:ind w:firstLine="0"/>
                              <w:rPr>
                                <w:lang w:val="en-US"/>
                              </w:rPr>
                            </w:pPr>
                          </w:p>
                          <w:p w14:paraId="0F8E2ABC" w14:textId="77777777" w:rsidR="00046778" w:rsidRPr="00F06A68" w:rsidRDefault="00046778" w:rsidP="00046778">
                            <w:pPr>
                              <w:pStyle w:val="BodyText"/>
                              <w:ind w:firstLine="0"/>
                              <w:jc w:val="center"/>
                              <w:rPr>
                                <w:lang w:val="en-US"/>
                              </w:rPr>
                            </w:pPr>
                            <w:r w:rsidRPr="00F06A68">
                              <w:rPr>
                                <w:noProof/>
                              </w:rPr>
                              <w:drawing>
                                <wp:inline distT="0" distB="0" distL="0" distR="0" wp14:anchorId="18756ADC" wp14:editId="6B913257">
                                  <wp:extent cx="1097280" cy="1097280"/>
                                  <wp:effectExtent l="0" t="0" r="762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3C452B31" wp14:editId="4496CCBE">
                                  <wp:extent cx="1097280" cy="1097280"/>
                                  <wp:effectExtent l="0" t="0" r="762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68397BF9" wp14:editId="0055EF54">
                                  <wp:extent cx="1097280" cy="1097280"/>
                                  <wp:effectExtent l="0" t="0" r="762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7BCB2442" wp14:editId="3B3AE167">
                                  <wp:extent cx="1097280" cy="1097280"/>
                                  <wp:effectExtent l="0" t="0" r="762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5CE60428" wp14:editId="7F3A6744">
                                  <wp:extent cx="1097280" cy="1097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5C0A30FC" w14:textId="5A3B9B46" w:rsidR="00046778" w:rsidRPr="00F06A68" w:rsidRDefault="00046778" w:rsidP="00046778">
                            <w:pPr>
                              <w:pStyle w:val="figurecaption"/>
                              <w:numPr>
                                <w:ilvl w:val="0"/>
                                <w:numId w:val="0"/>
                              </w:numPr>
                              <w:ind w:left="648" w:hanging="360"/>
                              <w:rPr>
                                <w:sz w:val="12"/>
                                <w:szCs w:val="12"/>
                              </w:rPr>
                            </w:pPr>
                            <w:r>
                              <w:rPr>
                                <w:noProof w:val="0"/>
                              </w:rPr>
                              <w:t xml:space="preserve">Fig.1. </w:t>
                            </w:r>
                            <w:r w:rsidR="00E9429C" w:rsidRPr="00E9429C">
                              <w:rPr>
                                <w:noProof w:val="0"/>
                              </w:rPr>
                              <w:t>Visualization of LiTS17 (top) and 3D-IRCADb-01 (bottom) data images with interference levels according to their respective SNRs.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9C2549" id="_x0000_t202" coordsize="21600,21600" o:spt="202" path="m,l,21600r21600,l21600,xe">
                <v:stroke joinstyle="miter"/>
                <v:path gradientshapeok="t" o:connecttype="rect"/>
              </v:shapetype>
              <v:shape id="_x0000_s1026" type="#_x0000_t202" style="position:absolute;left:0;text-align:left;margin-left:1.05pt;margin-top:126.35pt;width:485pt;height:2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" stroked="f">
                <v:textbox>
                  <w:txbxContent>
                    <w:p w14:paraId="13C9FB38" w14:textId="77777777" w:rsidR="00046778" w:rsidRPr="00F06A68" w:rsidRDefault="00046778" w:rsidP="00046778">
                      <w:pPr>
                        <w:pStyle w:val="BodyText"/>
                        <w:ind w:firstLine="0"/>
                        <w:jc w:val="center"/>
                        <w:rPr>
                          <w:b/>
                          <w:bCs/>
                          <w:noProof/>
                          <w:lang w:val="en-US"/>
                        </w:rPr>
                      </w:pPr>
                      <w:r w:rsidRPr="00F06A68">
                        <w:rPr>
                          <w:b/>
                          <w:bCs/>
                          <w:noProof/>
                          <w:lang w:val="en-US"/>
                        </w:rPr>
                        <w:t>SNR 30%                    SNR 50%                      SNR 80%                     SNR 90%                   Original</w:t>
                      </w:r>
                    </w:p>
                    <w:p w14:paraId="46B753DB" w14:textId="77777777" w:rsidR="00046778" w:rsidRPr="00F06A68" w:rsidRDefault="00046778" w:rsidP="00046778">
                      <w:pPr>
                        <w:pStyle w:val="BodyText"/>
                        <w:ind w:firstLine="0"/>
                        <w:jc w:val="center"/>
                        <w:rPr>
                          <w:lang w:val="en-US"/>
                        </w:rPr>
                      </w:pPr>
                      <w:r w:rsidRPr="00F06A68">
                        <w:rPr>
                          <w:noProof/>
                        </w:rPr>
                        <w:drawing>
                          <wp:inline distT="0" distB="0" distL="0" distR="0" wp14:anchorId="1ABAAF70" wp14:editId="06E92A11">
                            <wp:extent cx="1097280" cy="1097280"/>
                            <wp:effectExtent l="0" t="0" r="762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39FF8181" wp14:editId="1A17F59A">
                            <wp:extent cx="1097280" cy="10972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2435D037" wp14:editId="3F819B75">
                            <wp:extent cx="1097280" cy="1097280"/>
                            <wp:effectExtent l="0" t="0" r="762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6A35AA4C" wp14:editId="27D31ACD">
                            <wp:extent cx="1097280" cy="1097280"/>
                            <wp:effectExtent l="0" t="0" r="762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r w:rsidRPr="00F06A68">
                        <w:rPr>
                          <w:noProof/>
                        </w:rPr>
                        <w:drawing>
                          <wp:inline distT="0" distB="0" distL="0" distR="0" wp14:anchorId="68B7E13E" wp14:editId="7148FF42">
                            <wp:extent cx="1097280" cy="1097280"/>
                            <wp:effectExtent l="0" t="0" r="762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1097280" cy="1097280"/>
                                    </a:xfrm>
                                    <a:prstGeom prst="rect">
                                      <a:avLst/>
                                    </a:prstGeom>
                                    <a:noFill/>
                                    <a:ln>
                                      <a:noFill/>
                                    </a:ln>
                                  </pic:spPr>
                                </pic:pic>
                              </a:graphicData>
                            </a:graphic>
                          </wp:inline>
                        </w:drawing>
                      </w:r>
                    </w:p>
                    <w:p w14:paraId="0218E176" w14:textId="77777777" w:rsidR="00046778" w:rsidRPr="00F06A68" w:rsidRDefault="00046778" w:rsidP="00046778">
                      <w:pPr>
                        <w:pStyle w:val="BodyText"/>
                        <w:ind w:firstLine="0"/>
                        <w:rPr>
                          <w:lang w:val="en-US"/>
                        </w:rPr>
                      </w:pPr>
                    </w:p>
                    <w:p w14:paraId="0F8E2ABC" w14:textId="77777777" w:rsidR="00046778" w:rsidRPr="00F06A68" w:rsidRDefault="00046778" w:rsidP="00046778">
                      <w:pPr>
                        <w:pStyle w:val="BodyText"/>
                        <w:ind w:firstLine="0"/>
                        <w:jc w:val="center"/>
                        <w:rPr>
                          <w:lang w:val="en-US"/>
                        </w:rPr>
                      </w:pPr>
                      <w:r w:rsidRPr="00F06A68">
                        <w:rPr>
                          <w:noProof/>
                        </w:rPr>
                        <w:drawing>
                          <wp:inline distT="0" distB="0" distL="0" distR="0" wp14:anchorId="18756ADC" wp14:editId="6B913257">
                            <wp:extent cx="1097280" cy="1097280"/>
                            <wp:effectExtent l="0" t="0" r="762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3C452B31" wp14:editId="4496CCBE">
                            <wp:extent cx="1097280" cy="1097280"/>
                            <wp:effectExtent l="0" t="0" r="762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68397BF9" wp14:editId="0055EF54">
                            <wp:extent cx="1097280" cy="1097280"/>
                            <wp:effectExtent l="0" t="0" r="762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7BCB2442" wp14:editId="3B3AE167">
                            <wp:extent cx="1097280" cy="1097280"/>
                            <wp:effectExtent l="0" t="0" r="762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r w:rsidRPr="00F06A68">
                        <w:rPr>
                          <w:noProof/>
                        </w:rPr>
                        <w:drawing>
                          <wp:inline distT="0" distB="0" distL="0" distR="0" wp14:anchorId="5CE60428" wp14:editId="7F3A6744">
                            <wp:extent cx="1097280" cy="1097280"/>
                            <wp:effectExtent l="0" t="0" r="762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14:paraId="5C0A30FC" w14:textId="5A3B9B46" w:rsidR="00046778" w:rsidRPr="00F06A68" w:rsidRDefault="00046778" w:rsidP="00046778">
                      <w:pPr>
                        <w:pStyle w:val="figurecaption"/>
                        <w:numPr>
                          <w:ilvl w:val="0"/>
                          <w:numId w:val="0"/>
                        </w:numPr>
                        <w:ind w:left="648" w:hanging="360"/>
                        <w:rPr>
                          <w:sz w:val="12"/>
                          <w:szCs w:val="12"/>
                        </w:rPr>
                      </w:pPr>
                      <w:r>
                        <w:rPr>
                          <w:noProof w:val="0"/>
                        </w:rPr>
                        <w:t xml:space="preserve">Fig.1. </w:t>
                      </w:r>
                      <w:r w:rsidR="00E9429C" w:rsidRPr="00E9429C">
                        <w:rPr>
                          <w:noProof w:val="0"/>
                        </w:rPr>
                        <w:t>Visualization of LiTS17 (top) and 3D-IRCADb-01 (bottom) data images with interference levels according to their respective SNRs.</w:t>
                      </w:r>
                    </w:p>
                  </w:txbxContent>
                </v:textbox>
                <w10:wrap type="topAndBottom"/>
              </v:shape>
            </w:pict>
          </mc:Fallback>
        </mc:AlternateContent>
      </w:r>
      <w:r w:rsidRPr="005411C6">
        <w:t xml:space="preserve"> </w:t>
      </w:r>
      <w:r w:rsidRPr="005411C6">
        <w:rPr>
          <w:noProof/>
        </w:rPr>
        <w:t>CT images is added by noise namely White Noise. White noise is represented in random signals that have the same intensity at different frequencies, so the power density is constant.</w:t>
      </w:r>
      <w:r>
        <w:rPr>
          <w:noProof/>
          <w:lang w:val="en-US"/>
        </w:rPr>
        <w:t xml:space="preserve"> </w:t>
      </w:r>
      <w:r w:rsidR="003B2640" w:rsidRPr="003B2640">
        <w:rPr>
          <w:lang w:val="en-US"/>
        </w:rPr>
        <w:t xml:space="preserve">In the field of image processing, noise pixels are obtained in a rectangular grid arrangement with a uniform probability distribution over several intervals. In its design, the use of white noise is adopted from the </w:t>
      </w:r>
      <w:r w:rsidR="003B2640">
        <w:rPr>
          <w:lang w:val="en-US"/>
        </w:rPr>
        <w:t>“</w:t>
      </w:r>
      <w:r w:rsidR="003B2640" w:rsidRPr="003B2640">
        <w:rPr>
          <w:lang w:val="en-US"/>
        </w:rPr>
        <w:t>python-acoustics</w:t>
      </w:r>
      <w:r w:rsidR="003B2640">
        <w:rPr>
          <w:lang w:val="en-US"/>
        </w:rPr>
        <w:t>”</w:t>
      </w:r>
      <w:r w:rsidR="003B2640" w:rsidRPr="003B2640">
        <w:rPr>
          <w:lang w:val="en-US"/>
        </w:rPr>
        <w:t xml:space="preserve"> package which has specifications of a two-fold increase in power per spectrum band or an increase of 3 dB per octave</w:t>
      </w:r>
      <w:r w:rsidR="003B2640">
        <w:rPr>
          <w:lang w:val="en-US"/>
        </w:rPr>
        <w:t>.</w:t>
      </w:r>
      <w:r w:rsidR="005A1397" w:rsidRPr="005A1397">
        <w:rPr>
          <w:lang w:val="en-US"/>
        </w:rPr>
        <w:t xml:space="preserve"> </w:t>
      </w:r>
    </w:p>
    <w:p w14:paraId="5A53E76F" w14:textId="249E4D83" w:rsidR="008416A7" w:rsidRDefault="008416A7" w:rsidP="00C30FF1">
      <w:pPr>
        <w:pStyle w:val="BodyText"/>
        <w:rPr>
          <w:lang w:val="en-US"/>
        </w:rPr>
      </w:pPr>
      <w:r w:rsidRPr="008416A7">
        <w:rPr>
          <w:lang w:val="en-US"/>
        </w:rPr>
        <w:t>To assess image reliability at several noise levels, noise testing was determined with SNR levels of 30%, 50%, 80% and 90%. Fi</w:t>
      </w:r>
      <w:r w:rsidR="00046778">
        <w:rPr>
          <w:lang w:val="en-US"/>
        </w:rPr>
        <w:t>g.</w:t>
      </w:r>
      <w:r w:rsidRPr="008416A7">
        <w:rPr>
          <w:lang w:val="en-US"/>
        </w:rPr>
        <w:t xml:space="preserve"> 1</w:t>
      </w:r>
      <w:r w:rsidR="00046778">
        <w:rPr>
          <w:lang w:val="en-US"/>
        </w:rPr>
        <w:t>.</w:t>
      </w:r>
      <w:r w:rsidRPr="008416A7">
        <w:rPr>
          <w:lang w:val="en-US"/>
        </w:rPr>
        <w:t xml:space="preserve"> shows the shape of the noise in each CT image. SNR is a form of comparison between signal level and background noise level. </w:t>
      </w:r>
      <w:r w:rsidR="005411C6" w:rsidRPr="005411C6">
        <w:rPr>
          <w:lang w:val="en-US"/>
        </w:rPr>
        <w:t>A high SNR value means the image signal is clearer and easier to characterize, while a low SNR value means the signal is unclear or covered by noise and difficult to characterize. SNR can generally be calculated via Equation (1) or (2).</w:t>
      </w:r>
      <w:r w:rsidR="005411C6">
        <w:rPr>
          <w:lang w:val="en-US"/>
        </w:rPr>
        <w:t xml:space="preserve"> </w:t>
      </w:r>
      <w:r w:rsidRPr="008416A7">
        <w:rPr>
          <w:lang w:val="en-US"/>
        </w:rPr>
        <w:t xml:space="preserve"> Because the type of noise used is white noise, the correct form for determining SNR is Equation (3).</w:t>
      </w:r>
    </w:p>
    <w:p w14:paraId="37193451" w14:textId="77777777" w:rsidR="00C30FF1" w:rsidRDefault="00C30FF1" w:rsidP="00C30FF1">
      <w:pPr>
        <w:jc w:val="both"/>
      </w:pPr>
      <m:oMath>
        <m:r>
          <w:rPr>
            <w:rFonts w:ascii="Cambria Math" w:hAnsi="Cambria Math"/>
          </w:rPr>
          <m:t xml:space="preserve">SNR= </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signal</m:t>
                </m:r>
              </m:sub>
            </m:sSub>
          </m:num>
          <m:den>
            <m:sSub>
              <m:sSubPr>
                <m:ctrlPr>
                  <w:rPr>
                    <w:rFonts w:ascii="Cambria Math" w:hAnsi="Cambria Math"/>
                    <w:i/>
                  </w:rPr>
                </m:ctrlPr>
              </m:sSubPr>
              <m:e>
                <m:r>
                  <w:rPr>
                    <w:rFonts w:ascii="Cambria Math" w:hAnsi="Cambria Math"/>
                  </w:rPr>
                  <m:t>P</m:t>
                </m:r>
              </m:e>
              <m:sub>
                <m:r>
                  <w:rPr>
                    <w:rFonts w:ascii="Cambria Math" w:hAnsi="Cambria Math"/>
                  </w:rPr>
                  <m:t>noise</m:t>
                </m:r>
              </m:sub>
            </m:sSub>
          </m:den>
        </m:f>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signal</m:t>
                        </m:r>
                      </m:sub>
                    </m:sSub>
                  </m:num>
                  <m:den>
                    <m:sSub>
                      <m:sSubPr>
                        <m:ctrlPr>
                          <w:rPr>
                            <w:rFonts w:ascii="Cambria Math" w:hAnsi="Cambria Math"/>
                            <w:i/>
                          </w:rPr>
                        </m:ctrlPr>
                      </m:sSubPr>
                      <m:e>
                        <m:r>
                          <w:rPr>
                            <w:rFonts w:ascii="Cambria Math" w:hAnsi="Cambria Math"/>
                          </w:rPr>
                          <m:t>A</m:t>
                        </m:r>
                      </m:e>
                      <m:sub>
                        <m:r>
                          <w:rPr>
                            <w:rFonts w:ascii="Cambria Math" w:hAnsi="Cambria Math"/>
                          </w:rPr>
                          <m:t>noise</m:t>
                        </m:r>
                      </m:sub>
                    </m:sSub>
                  </m:den>
                </m:f>
              </m:e>
            </m:d>
          </m:e>
          <m:sup>
            <m:r>
              <w:rPr>
                <w:rFonts w:ascii="Cambria Math" w:hAnsi="Cambria Math"/>
              </w:rPr>
              <m:t>2</m:t>
            </m:r>
          </m:sup>
        </m:sSup>
      </m:oMath>
      <w:r>
        <w:t xml:space="preserve">                                              (1)</w:t>
      </w:r>
    </w:p>
    <w:p w14:paraId="5CF8D6C6" w14:textId="77777777" w:rsidR="00C30FF1" w:rsidRDefault="00C30FF1" w:rsidP="00C30FF1">
      <w:pPr>
        <w:jc w:val="both"/>
      </w:pPr>
    </w:p>
    <w:p w14:paraId="5154517B" w14:textId="77777777" w:rsidR="00C30FF1" w:rsidRPr="001F1DF6" w:rsidRDefault="00C30FF1" w:rsidP="00C30FF1">
      <w:pPr>
        <w:jc w:val="both"/>
      </w:pPr>
      <m:oMath>
        <m:r>
          <w:rPr>
            <w:rFonts w:ascii="Cambria Math" w:hAnsi="Cambria Math"/>
          </w:rPr>
          <m:t xml:space="preserve">SNR= </m:t>
        </m:r>
        <m:f>
          <m:fPr>
            <m:ctrlPr>
              <w:rPr>
                <w:rFonts w:ascii="Cambria Math" w:hAnsi="Cambria Math"/>
                <w:i/>
              </w:rPr>
            </m:ctrlPr>
          </m:fPr>
          <m:num>
            <m:r>
              <w:rPr>
                <w:rFonts w:ascii="Cambria Math" w:hAnsi="Cambria Math"/>
              </w:rPr>
              <m:t>μ</m:t>
            </m:r>
          </m:num>
          <m:den>
            <m:r>
              <w:rPr>
                <w:rFonts w:ascii="Cambria Math" w:hAnsi="Cambria Math"/>
              </w:rPr>
              <m:t>σ</m:t>
            </m:r>
          </m:den>
        </m:f>
      </m:oMath>
      <w:r>
        <w:t xml:space="preserve">                                                                           (2)</w:t>
      </w:r>
    </w:p>
    <w:p w14:paraId="2AC6B693" w14:textId="77777777" w:rsidR="00C30FF1" w:rsidRPr="00CD1D80" w:rsidRDefault="00C30FF1" w:rsidP="00C30FF1">
      <w:pPr>
        <w:jc w:val="both"/>
      </w:pPr>
    </w:p>
    <w:p w14:paraId="2456E58B" w14:textId="7B649B6F" w:rsidR="00C30FF1" w:rsidRDefault="00AF2169" w:rsidP="00C30FF1">
      <w:pPr>
        <w:jc w:val="both"/>
      </w:pPr>
      <m:oMath>
        <m:sSub>
          <m:sSubPr>
            <m:ctrlPr>
              <w:rPr>
                <w:rFonts w:ascii="Cambria Math" w:hAnsi="Cambria Math"/>
                <w:i/>
              </w:rPr>
            </m:ctrlPr>
          </m:sSubPr>
          <m:e>
            <m:r>
              <w:rPr>
                <w:rFonts w:ascii="Cambria Math" w:hAnsi="Cambria Math"/>
              </w:rPr>
              <m:t>SNR</m:t>
            </m:r>
          </m:e>
          <m:sub>
            <m:r>
              <w:rPr>
                <w:rFonts w:ascii="Cambria Math" w:hAnsi="Cambria Math"/>
              </w:rPr>
              <m:t>white noise</m:t>
            </m:r>
          </m:sub>
        </m:sSub>
        <m:r>
          <w:rPr>
            <w:rFonts w:ascii="Cambria Math" w:hAnsi="Cambria Math"/>
          </w:rPr>
          <m:t xml:space="preserve">= </m:t>
        </m:r>
        <m:f>
          <m:fPr>
            <m:ctrlPr>
              <w:rPr>
                <w:rFonts w:ascii="Cambria Math" w:hAnsi="Cambria Math"/>
                <w:i/>
              </w:rPr>
            </m:ctrlPr>
          </m:fPr>
          <m:num>
            <m:nary>
              <m:naryPr>
                <m:limLoc m:val="undOvr"/>
                <m:subHide m:val="1"/>
                <m:supHide m:val="1"/>
                <m:ctrlPr>
                  <w:rPr>
                    <w:rFonts w:ascii="Cambria Math" w:hAnsi="Cambria Math"/>
                    <w:i/>
                  </w:rPr>
                </m:ctrlPr>
              </m:naryPr>
              <m:sub/>
              <m:sup/>
              <m:e>
                <m:sSup>
                  <m:sSupPr>
                    <m:ctrlPr>
                      <w:rPr>
                        <w:rFonts w:ascii="Cambria Math" w:hAnsi="Cambria Math"/>
                        <w:i/>
                      </w:rPr>
                    </m:ctrlPr>
                  </m:sSupPr>
                  <m:e>
                    <m:r>
                      <w:rPr>
                        <w:rFonts w:ascii="Cambria Math" w:hAnsi="Cambria Math"/>
                      </w:rPr>
                      <m:t>s</m:t>
                    </m:r>
                  </m:e>
                  <m:sup>
                    <m:r>
                      <w:rPr>
                        <w:rFonts w:ascii="Cambria Math" w:hAnsi="Cambria Math"/>
                      </w:rPr>
                      <m:t>2</m:t>
                    </m:r>
                  </m:sup>
                </m:sSup>
                <m:d>
                  <m:dPr>
                    <m:ctrlPr>
                      <w:rPr>
                        <w:rFonts w:ascii="Cambria Math" w:hAnsi="Cambria Math"/>
                        <w:i/>
                      </w:rPr>
                    </m:ctrlPr>
                  </m:dPr>
                  <m:e>
                    <m:r>
                      <w:rPr>
                        <w:rFonts w:ascii="Cambria Math" w:hAnsi="Cambria Math"/>
                      </w:rPr>
                      <m:t>t</m:t>
                    </m:r>
                  </m:e>
                </m:d>
                <m:r>
                  <w:rPr>
                    <w:rFonts w:ascii="Cambria Math" w:hAnsi="Cambria Math"/>
                  </w:rPr>
                  <m:t>dt</m:t>
                </m:r>
              </m:e>
            </m:nary>
          </m:num>
          <m:den>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/2</m:t>
            </m:r>
          </m:den>
        </m:f>
      </m:oMath>
      <w:r w:rsidR="00C30FF1">
        <w:t xml:space="preserve">                                                (3)</w:t>
      </w:r>
    </w:p>
    <w:p w14:paraId="5DABEA68" w14:textId="274C8601" w:rsidR="00C30FF1" w:rsidRDefault="00C30FF1" w:rsidP="00C30FF1">
      <w:pPr>
        <w:jc w:val="both"/>
      </w:pPr>
    </w:p>
    <w:p w14:paraId="6E91E2DB" w14:textId="3609C802" w:rsidR="00C30FF1" w:rsidRDefault="00C30FF1" w:rsidP="00C30FF1">
      <w:pPr>
        <w:jc w:val="both"/>
      </w:pPr>
      <w:r>
        <w:t xml:space="preserve">with </w:t>
      </w:r>
      <m:oMath>
        <m:sSub>
          <m:sSubPr>
            <m:ctrlPr>
              <w:rPr>
                <w:rFonts w:ascii="Cambria Math" w:hAnsi="Cambria Math"/>
                <w:i/>
              </w:rPr>
            </m:ctrlPr>
          </m:sSubPr>
          <m:e>
            <m:r>
              <w:rPr>
                <w:rFonts w:ascii="Cambria Math" w:hAnsi="Cambria Math"/>
              </w:rPr>
              <m:t>P</m:t>
            </m:r>
          </m:e>
          <m:sub>
            <m:r>
              <w:rPr>
                <w:rFonts w:ascii="Cambria Math" w:hAnsi="Cambria Math"/>
              </w:rPr>
              <m:t>signal</m:t>
            </m:r>
          </m:sub>
        </m:sSub>
      </m:oMath>
      <w:r>
        <w:t xml:space="preserve"> is average power signal and </w:t>
      </w:r>
      <m:oMath>
        <m:sSub>
          <m:sSubPr>
            <m:ctrlPr>
              <w:rPr>
                <w:rFonts w:ascii="Cambria Math" w:hAnsi="Cambria Math"/>
                <w:i/>
              </w:rPr>
            </m:ctrlPr>
          </m:sSubPr>
          <m:e>
            <m:r>
              <w:rPr>
                <w:rFonts w:ascii="Cambria Math" w:hAnsi="Cambria Math"/>
              </w:rPr>
              <m:t>A</m:t>
            </m:r>
          </m:e>
          <m:sub>
            <m:r>
              <w:rPr>
                <w:rFonts w:ascii="Cambria Math" w:hAnsi="Cambria Math"/>
              </w:rPr>
              <m:t>signal</m:t>
            </m:r>
          </m:sub>
        </m:sSub>
      </m:oMath>
      <w:r>
        <w:t xml:space="preserve"> is root mean square (RMS) amplitude of signal, both also applied in noise. </w:t>
      </w:r>
      <m:oMath>
        <m:r>
          <w:rPr>
            <w:rFonts w:ascii="Cambria Math" w:hAnsi="Cambria Math"/>
          </w:rPr>
          <m:t>μ</m:t>
        </m:r>
      </m:oMath>
      <w:r>
        <w:t xml:space="preserve"> is signal mean and </w:t>
      </w:r>
      <m:oMath>
        <m:r>
          <w:rPr>
            <w:rFonts w:ascii="Cambria Math" w:hAnsi="Cambria Math"/>
          </w:rPr>
          <m:t>σ</m:t>
        </m:r>
      </m:oMath>
      <w:r>
        <w:t xml:space="preserve"> is standard deviation of the noise. </w:t>
      </w:r>
      <m:oMath>
        <m:r>
          <w:rPr>
            <w:rFonts w:ascii="Cambria Math" w:hAnsi="Cambria Math"/>
          </w:rPr>
          <m:t>s</m:t>
        </m:r>
      </m:oMath>
      <w:r>
        <w:t xml:space="preserve"> is signal and </w:t>
      </w:r>
      <m:oMath>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/2</m:t>
        </m:r>
      </m:oMath>
      <w:r>
        <w:t xml:space="preserve"> </w:t>
      </w:r>
      <w:r w:rsidRPr="00C30FF1">
        <w:t>is the spectral height of the white noise and corresponds to the value of the noise power spectrum at all frequencies</w:t>
      </w:r>
      <w:r>
        <w:t xml:space="preserve">. </w:t>
      </w:r>
    </w:p>
    <w:p w14:paraId="5C7A1E11" w14:textId="38EFD3FB" w:rsidR="005A1397" w:rsidRPr="005A1397" w:rsidRDefault="0074071F" w:rsidP="005A1397">
      <w:pPr>
        <w:pStyle w:val="Heading2"/>
        <w:rPr>
          <w:noProof w:val="0"/>
        </w:rPr>
      </w:pPr>
      <w:r>
        <w:rPr>
          <w:noProof w:val="0"/>
        </w:rPr>
        <w:t>Tumor Segmentation</w:t>
      </w:r>
    </w:p>
    <w:p w14:paraId="53E0596D" w14:textId="74EF2D2F" w:rsidR="005A1397" w:rsidRPr="005A1397" w:rsidRDefault="0074071F" w:rsidP="005A1397">
      <w:pPr>
        <w:pStyle w:val="BodyText"/>
        <w:rPr>
          <w:lang w:val="en-US"/>
        </w:rPr>
      </w:pPr>
      <w:r w:rsidRPr="0074071F">
        <w:rPr>
          <w:lang w:val="en-US"/>
        </w:rPr>
        <w:t xml:space="preserve">LiTS17 data has two types of labels, namely liver parenchyma labels and tumor labels in one image, </w:t>
      </w:r>
      <w:r w:rsidR="005411C6">
        <w:rPr>
          <w:lang w:val="en-US"/>
        </w:rPr>
        <w:t xml:space="preserve">therefore </w:t>
      </w:r>
      <w:r w:rsidR="005411C6" w:rsidRPr="005411C6">
        <w:rPr>
          <w:lang w:val="en-US"/>
        </w:rPr>
        <w:t>an effort was made to obtain the Region of Interest (ROI) of the tumor by applying semi-automatic segmentation using the "cv2.findcontours()" package only to the tumor part.</w:t>
      </w:r>
      <w:r w:rsidRPr="0074071F">
        <w:rPr>
          <w:lang w:val="en-US"/>
        </w:rPr>
        <w:t xml:space="preserve"> The tumor part was identified as having the highest intensity, namely 255, so the image intensity thresholding algorithm was used. The tumor segmentation process does not apply to 3D-IRCADb-01 data because the labels are correct.</w:t>
      </w:r>
      <w:r w:rsidR="005A1397" w:rsidRPr="005A1397">
        <w:rPr>
          <w:lang w:val="en-US"/>
        </w:rPr>
        <w:t xml:space="preserve"> </w:t>
      </w:r>
    </w:p>
    <w:p w14:paraId="60D38FF9" w14:textId="7644355E" w:rsidR="005A1397" w:rsidRPr="005A1397" w:rsidRDefault="0074071F" w:rsidP="005A1397">
      <w:pPr>
        <w:pStyle w:val="Heading2"/>
        <w:rPr>
          <w:noProof w:val="0"/>
        </w:rPr>
      </w:pPr>
      <w:r>
        <w:rPr>
          <w:noProof w:val="0"/>
        </w:rPr>
        <w:lastRenderedPageBreak/>
        <w:t>Radiomic Features</w:t>
      </w:r>
    </w:p>
    <w:p w14:paraId="4FD80193" w14:textId="649F3B74" w:rsidR="00220838" w:rsidRDefault="00220838" w:rsidP="005A1397">
      <w:pPr>
        <w:pStyle w:val="BodyText"/>
        <w:rPr>
          <w:lang w:val="en-US"/>
        </w:rPr>
      </w:pPr>
      <w:r w:rsidRPr="00220838">
        <w:rPr>
          <w:lang w:val="en-US"/>
        </w:rPr>
        <w:t xml:space="preserve">The open-source package </w:t>
      </w:r>
      <w:r>
        <w:rPr>
          <w:lang w:val="en-US"/>
        </w:rPr>
        <w:t>“</w:t>
      </w:r>
      <w:r w:rsidRPr="00220838">
        <w:rPr>
          <w:lang w:val="en-US"/>
        </w:rPr>
        <w:t>Pyradiomics</w:t>
      </w:r>
      <w:r>
        <w:rPr>
          <w:lang w:val="en-US"/>
        </w:rPr>
        <w:t>”</w:t>
      </w:r>
      <w:r w:rsidRPr="00220838">
        <w:rPr>
          <w:lang w:val="en-US"/>
        </w:rPr>
        <w:t xml:space="preserve"> </w:t>
      </w:r>
      <w:r w:rsidR="001D68A7">
        <w:rPr>
          <w:lang w:val="en-US"/>
        </w:rPr>
        <w:fldChar w:fldCharType="begin" w:fldLock="1"/>
      </w:r>
      <w:r w:rsidR="001D68A7">
        <w:rPr>
          <w:lang w:val="en-US"/>
        </w:rPr>
        <w:instrText>ADDIN CSL_CITATION {"citationItems":[{"id":"ITEM-1","itemData":{"DOI":"10.1158/0008-5472.CAN-17-0339","ISSN":"15387445","PMID":"29092951","abstract":"Radiomics aims to quantify phenotypic characteristics on medical imaging through the use of automated algorithms. Radiomic artificial intelligence (AI) technology, either based on engineered hard-coded algorithms or deep learning methods, can be used to develop noninvasive imaging-based biomarkers. However, lack of standardized algorithm definitions and image processing severely hampers reproducibility and comparability of results. To address this issue, we developed PyRadiomics, a flexible open-source platform capable of extracting a large panel of engineered features from medical images. PyRadiomics is implemented in Python and can be used standalone or using 3D Slicer. Here, we discuss the workflow and architecture of PyRadiomics and demonstrate its application in characterizing lung lesions. Source code, documentation, and examples are publicly available at www. radiomics.io. With this platform, we aim to establish a reference standard for radiomic analyses, provide a tested and maintained resource, and to grow the community of radiomic developers addressing critical needs in cancer research. Cancer Res; 77(21); e104-7.","author":[{"dropping-particle":"","family":"Griethuysen","given":"Joost J.M.","non-dropping-particle":"Van","parse-names":false,"suffix":""},{"dropping-particle":"","family":"Fedorov","given":"Andriy","non-dropping-particle":"","parse-names":false,"suffix":""},{"dropping-particle":"","family":"Parmar","given":"Chintan","non-dropping-particle":"","parse-names":false,"suffix":""},{"dropping-particle":"","family":"Hosny","given":"Ahmed","non-dropping-particle":"","parse-names":false,"suffix":""},{"dropping-particle":"","family":"Aucoin","given":"Nicole","non-dropping-particle":"","parse-names":false,"suffix":""},{"dropping-particle":"","family":"Narayan","given":"Vivek","non-dropping-particle":"","parse-names":false,"suffix":""},{"dropping-particle":"","family":"Beets-Tan","given":"Regina G.H.","non-dropping-particle":"","parse-names":false,"suffix":""},{"dropping-particle":"","family":"Fillion-Robin","given":"Jean Christophe","non-dropping-particle":"","parse-names":false,"suffix":""},{"dropping-particle":"","family":"Pieper","given":"Steve","non-dropping-particle":"","parse-names":false,"suffix":""},{"dropping-particle":"","family":"Aerts","given":"Hugo J.W.L.","non-dropping-particle":"","parse-names":false,"suffix":""}],"container-title":"Cancer Research","id":"ITEM-1","issue":"21","issued":{"date-parts":[["2017"]]},"page":"e104-e107","title":"Computational radiomics system to decode the radiographic phenotype","type":"article-journal","volume":"77"},"uris":["http://www.mendeley.com/documents/?uuid=9a5a5709-914f-41ec-9103-8564e45b7a45"]}],"mendeley":{"formattedCitation":"[10]","plainTextFormattedCitation":"[10]","previouslyFormattedCitation":"[10]"},"properties":{"noteIndex":0},"schema":"https://github.com/citation-style-language/schema/raw/master/csl-citation.json"}</w:instrText>
      </w:r>
      <w:r w:rsidR="001D68A7">
        <w:rPr>
          <w:lang w:val="en-US"/>
        </w:rPr>
        <w:fldChar w:fldCharType="separate"/>
      </w:r>
      <w:r w:rsidR="001D68A7" w:rsidRPr="001D68A7">
        <w:rPr>
          <w:noProof/>
          <w:lang w:val="en-US"/>
        </w:rPr>
        <w:t>[10]</w:t>
      </w:r>
      <w:r w:rsidR="001D68A7">
        <w:rPr>
          <w:lang w:val="en-US"/>
        </w:rPr>
        <w:fldChar w:fldCharType="end"/>
      </w:r>
      <w:r w:rsidRPr="00220838">
        <w:rPr>
          <w:lang w:val="en-US"/>
        </w:rPr>
        <w:t xml:space="preserve"> is used in the feature extraction step of 3D CT images with tumor labels. </w:t>
      </w:r>
      <w:r w:rsidR="005411C6" w:rsidRPr="005411C6">
        <w:rPr>
          <w:lang w:val="en-US"/>
        </w:rPr>
        <w:t>These radiomic features are divided into 18 first-order features, 75 texture features which are divided into 24 Gray Level Cooccurrence Matrix (GLCM) features, 16 Gray Level Run Length Matrix (GLRLM) features, 16 Gray Level Size Zone Matrix (GLSZM) features, 14 the Gray Level Dependence Matrix (GLDM) feature, as well as at least 5 features of the Neighboring Gray Tone Difference Matrix (NGTDM).</w:t>
      </w:r>
    </w:p>
    <w:p w14:paraId="3107F306" w14:textId="0DA1CF26" w:rsidR="00220838" w:rsidRDefault="005411C6" w:rsidP="005A1397">
      <w:pPr>
        <w:pStyle w:val="BodyText"/>
        <w:rPr>
          <w:lang w:val="en-US"/>
        </w:rPr>
      </w:pPr>
      <w:r w:rsidRPr="005411C6">
        <w:rPr>
          <w:lang w:val="en-US"/>
        </w:rPr>
        <w:t xml:space="preserve">93 features with original image filters or </w:t>
      </w:r>
      <w:r>
        <w:rPr>
          <w:lang w:val="en-US"/>
        </w:rPr>
        <w:t>also known as</w:t>
      </w:r>
      <w:r w:rsidRPr="005411C6">
        <w:rPr>
          <w:lang w:val="en-US"/>
        </w:rPr>
        <w:t xml:space="preserve"> traditional radiomic features, wh</w:t>
      </w:r>
      <w:r>
        <w:rPr>
          <w:lang w:val="en-US"/>
        </w:rPr>
        <w:t>en converted into</w:t>
      </w:r>
      <w:r w:rsidRPr="005411C6">
        <w:rPr>
          <w:lang w:val="en-US"/>
        </w:rPr>
        <w:t xml:space="preserve"> wavelet derived features, the number increases to 744. Wavelet transformation works by decomposing local intensity into two frequencies, namely low and high. The decomposition process is applied </w:t>
      </w:r>
      <w:r>
        <w:rPr>
          <w:lang w:val="en-US"/>
        </w:rPr>
        <w:t>in</w:t>
      </w:r>
      <w:r w:rsidRPr="005411C6">
        <w:rPr>
          <w:lang w:val="en-US"/>
        </w:rPr>
        <w:t xml:space="preserve"> low-pass filter (known as a scaling function with the symbol L) and a high-pass filter (also known as a wavelet function with the notation H) in each direction.</w:t>
      </w:r>
      <w:r>
        <w:rPr>
          <w:lang w:val="en-US"/>
        </w:rPr>
        <w:t xml:space="preserve"> That </w:t>
      </w:r>
      <w:r w:rsidRPr="005411C6">
        <w:rPr>
          <w:lang w:val="en-US"/>
        </w:rPr>
        <w:t>the total filters resulting from wavelet decomposition are 8 filters for each feature in a three-dimensional image (composed of a combination of three L or H in each direction) [11].</w:t>
      </w:r>
    </w:p>
    <w:p w14:paraId="11714481" w14:textId="6FC67B1A" w:rsidR="00220838" w:rsidRDefault="00220838" w:rsidP="005A1397">
      <w:pPr>
        <w:pStyle w:val="BodyText"/>
        <w:rPr>
          <w:lang w:val="en-US"/>
        </w:rPr>
      </w:pPr>
      <w:r w:rsidRPr="00220838">
        <w:rPr>
          <w:lang w:val="en-US"/>
        </w:rPr>
        <w:t xml:space="preserve">This feature group is not only applied to the original features but also to the derived wavelet features. The type of wavelet used is Daubechies level 1 (db1). The Daubechies wavelet has a lot in common with Haar, but there are some differences with Haar, i.e. for the Daubechies wavelet transform, the signal and wavelet scaling have slightly longer support, i.e. they generate the average and difference just by using some additional values of the signal. It is very effective at compression and noise reduction tasks for both audio and picture signals. So that at the same signal, the Daubechies wavelet is superior to Haar </w:t>
      </w:r>
      <w:r w:rsidR="001D68A7">
        <w:rPr>
          <w:lang w:val="en-US"/>
        </w:rPr>
        <w:fldChar w:fldCharType="begin" w:fldLock="1"/>
      </w:r>
      <w:r w:rsidR="00753FF0">
        <w:rPr>
          <w:lang w:val="en-US"/>
        </w:rPr>
        <w:instrText>ADDIN CSL_CITATION {"citationItems":[{"id":"ITEM-1","itemData":{"author":[{"dropping-particle":"","family":"Meyer","given":"Yves","non-dropping-particle":"","parse-names":false,"suffix":""}],"id":"ITEM-1","issued":{"date-parts":[["0"]]},"title":"Chapter 2 Daubechies wavelets","type":"article-journal"},"uris":["http://www.mendeley.com/documents/?uuid=648a996e-d472-4057-99ae-7c75ed262f6b"]}],"mendeley":{"formattedCitation":"[12]","plainTextFormattedCitation":"[12]","previouslyFormattedCitation":"[12]"},"properties":{"noteIndex":0},"schema":"https://github.com/citation-style-language/schema/raw/master/csl-citation.json"}</w:instrText>
      </w:r>
      <w:r w:rsidR="001D68A7">
        <w:rPr>
          <w:lang w:val="en-US"/>
        </w:rPr>
        <w:fldChar w:fldCharType="separate"/>
      </w:r>
      <w:r w:rsidR="001D68A7" w:rsidRPr="001D68A7">
        <w:rPr>
          <w:noProof/>
          <w:lang w:val="en-US"/>
        </w:rPr>
        <w:t>[12]</w:t>
      </w:r>
      <w:r w:rsidR="001D68A7">
        <w:rPr>
          <w:lang w:val="en-US"/>
        </w:rPr>
        <w:fldChar w:fldCharType="end"/>
      </w:r>
      <w:r w:rsidRPr="00220838">
        <w:rPr>
          <w:lang w:val="en-US"/>
        </w:rPr>
        <w:t>.</w:t>
      </w:r>
    </w:p>
    <w:p w14:paraId="56C629F6" w14:textId="0CA3659F" w:rsidR="00220838" w:rsidRPr="005A1397" w:rsidRDefault="00220838" w:rsidP="00220838">
      <w:pPr>
        <w:pStyle w:val="Heading2"/>
        <w:rPr>
          <w:noProof w:val="0"/>
        </w:rPr>
      </w:pPr>
      <w:r>
        <w:rPr>
          <w:noProof w:val="0"/>
        </w:rPr>
        <w:t>Statistical Analysis</w:t>
      </w:r>
    </w:p>
    <w:p w14:paraId="0AF0E677" w14:textId="7653010D" w:rsidR="00220838" w:rsidRDefault="0020775B" w:rsidP="00220838">
      <w:pPr>
        <w:pStyle w:val="BodyText"/>
        <w:ind w:firstLine="0"/>
        <w:rPr>
          <w:lang w:val="en-US"/>
        </w:rPr>
      </w:pPr>
      <w:r>
        <w:rPr>
          <w:lang w:val="en-US"/>
        </w:rPr>
        <w:tab/>
      </w:r>
      <w:r w:rsidRPr="0020775B">
        <w:rPr>
          <w:lang w:val="en-US"/>
        </w:rPr>
        <w:t>Determination of class correlation in data that aims to determine the character of reproducibility is used Intraclass Correlation Coefficient (ICC). For the first and second data, we devised the ICC calculation for the investigation of agreement among raters so the model we used is the two-way random effects model Analysis of Variance (ANOVA), absolute agreement, single rater/measurement, also called ICC</w:t>
      </w:r>
      <w:r>
        <w:rPr>
          <w:lang w:val="en-US"/>
        </w:rPr>
        <w:t xml:space="preserve"> </w:t>
      </w:r>
      <w:r w:rsidRPr="0020775B">
        <w:rPr>
          <w:lang w:val="en-US"/>
        </w:rPr>
        <w:t>(2, 1), the calculation as follows:</w:t>
      </w:r>
    </w:p>
    <w:p w14:paraId="695C3FBD" w14:textId="130624C8" w:rsidR="0020775B" w:rsidRDefault="0020775B" w:rsidP="00220838">
      <w:pPr>
        <w:pStyle w:val="BodyText"/>
        <w:ind w:firstLine="0"/>
        <w:rPr>
          <w:lang w:val="en-US"/>
        </w:rPr>
      </w:pPr>
    </w:p>
    <w:p w14:paraId="25A5B153" w14:textId="77777777" w:rsidR="0020775B" w:rsidRDefault="0020775B" w:rsidP="0020775B">
      <w:pPr>
        <w:pStyle w:val="BodyText"/>
        <w:ind w:firstLine="0"/>
        <w:rPr>
          <w:lang w:val="en-US"/>
        </w:rPr>
      </w:pPr>
      <m:oMath>
        <m:r>
          <w:rPr>
            <w:rFonts w:ascii="Cambria Math" w:hAnsi="Cambria Math"/>
            <w:lang w:val="en-US"/>
          </w:rPr>
          <m:t>ICC</m:t>
        </m:r>
        <m:d>
          <m:dPr>
            <m:ctrlPr>
              <w:rPr>
                <w:rFonts w:ascii="Cambria Math" w:hAnsi="Cambria Math"/>
                <w:i/>
                <w:lang w:val="en-US"/>
              </w:rPr>
            </m:ctrlPr>
          </m:dPr>
          <m:e>
            <m:r>
              <w:rPr>
                <w:rFonts w:ascii="Cambria Math" w:hAnsi="Cambria Math"/>
                <w:lang w:val="en-US"/>
              </w:rPr>
              <m:t>2,1</m:t>
            </m:r>
          </m:e>
        </m:d>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R</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E</m:t>
                </m:r>
              </m:sub>
            </m:sSub>
          </m:num>
          <m:den>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R</m:t>
                </m:r>
              </m:sub>
            </m:sSub>
            <m:r>
              <w:rPr>
                <w:rFonts w:ascii="Cambria Math" w:hAnsi="Cambria Math"/>
                <w:lang w:val="en-US"/>
              </w:rPr>
              <m:t>+(k+1)</m:t>
            </m:r>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E</m:t>
                </m:r>
              </m:sub>
            </m:sSub>
          </m:den>
        </m:f>
        <m:r>
          <w:rPr>
            <w:rFonts w:ascii="Cambria Math" w:hAnsi="Cambria Math"/>
            <w:lang w:val="en-US"/>
          </w:rPr>
          <m:t>+</m:t>
        </m:r>
        <m:f>
          <m:fPr>
            <m:ctrlPr>
              <w:rPr>
                <w:rFonts w:ascii="Cambria Math" w:hAnsi="Cambria Math"/>
                <w:i/>
                <w:lang w:val="en-US"/>
              </w:rPr>
            </m:ctrlPr>
          </m:fPr>
          <m:num>
            <m:r>
              <w:rPr>
                <w:rFonts w:ascii="Cambria Math" w:hAnsi="Cambria Math"/>
                <w:lang w:val="en-US"/>
              </w:rPr>
              <m:t>k</m:t>
            </m:r>
          </m:num>
          <m:den>
            <m:r>
              <w:rPr>
                <w:rFonts w:ascii="Cambria Math" w:hAnsi="Cambria Math"/>
                <w:lang w:val="en-US"/>
              </w:rPr>
              <m:t>n</m:t>
            </m:r>
          </m:den>
        </m:f>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E</m:t>
                </m:r>
              </m:sub>
            </m:sSub>
          </m:e>
        </m:d>
      </m:oMath>
      <w:r>
        <w:rPr>
          <w:lang w:val="en-US"/>
        </w:rPr>
        <w:t xml:space="preserve">                    (4)</w:t>
      </w:r>
    </w:p>
    <w:p w14:paraId="6DBDCE71" w14:textId="6E8BC84A" w:rsidR="0020775B" w:rsidRDefault="0020775B" w:rsidP="00220838">
      <w:pPr>
        <w:pStyle w:val="BodyText"/>
        <w:ind w:firstLine="0"/>
        <w:rPr>
          <w:lang w:val="en-US"/>
        </w:rPr>
      </w:pPr>
    </w:p>
    <w:p w14:paraId="2F473A72" w14:textId="083B8DD8" w:rsidR="005A1397" w:rsidRDefault="00376FD8" w:rsidP="00376FD8">
      <w:pPr>
        <w:pStyle w:val="BodyText"/>
        <w:ind w:firstLine="0"/>
        <w:rPr>
          <w:lang w:val="en-US"/>
        </w:rPr>
      </w:pPr>
      <w:r>
        <w:rPr>
          <w:lang w:val="en-US"/>
        </w:rPr>
        <w:t xml:space="preserve">with </w:t>
      </w:r>
      <m:oMath>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C</m:t>
            </m:r>
          </m:sub>
        </m:sSub>
      </m:oMath>
      <w:r>
        <w:rPr>
          <w:lang w:val="en-US"/>
        </w:rPr>
        <w:t xml:space="preserve"> is mean square for column</w:t>
      </w:r>
      <w:r w:rsidR="00753FF0">
        <w:rPr>
          <w:lang w:val="en-US"/>
        </w:rPr>
        <w:t>s</w:t>
      </w:r>
      <w:r>
        <w:rPr>
          <w:lang w:val="en-US"/>
        </w:rPr>
        <w:t xml:space="preserve">, </w:t>
      </w:r>
      <m:oMath>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R</m:t>
            </m:r>
          </m:sub>
        </m:sSub>
      </m:oMath>
      <w:r>
        <w:rPr>
          <w:lang w:val="en-US"/>
        </w:rPr>
        <w:t xml:space="preserve"> is mean square for rows, </w:t>
      </w:r>
      <m:oMath>
        <m:sSub>
          <m:sSubPr>
            <m:ctrlPr>
              <w:rPr>
                <w:rFonts w:ascii="Cambria Math" w:hAnsi="Cambria Math"/>
                <w:i/>
                <w:lang w:val="en-US"/>
              </w:rPr>
            </m:ctrlPr>
          </m:sSubPr>
          <m:e>
            <m:r>
              <w:rPr>
                <w:rFonts w:ascii="Cambria Math" w:hAnsi="Cambria Math"/>
                <w:lang w:val="en-US"/>
              </w:rPr>
              <m:t>MS</m:t>
            </m:r>
          </m:e>
          <m:sub>
            <m:r>
              <w:rPr>
                <w:rFonts w:ascii="Cambria Math" w:hAnsi="Cambria Math"/>
                <w:lang w:val="en-US"/>
              </w:rPr>
              <m:t>E</m:t>
            </m:r>
          </m:sub>
        </m:sSub>
      </m:oMath>
      <w:r>
        <w:rPr>
          <w:lang w:val="en-US"/>
        </w:rPr>
        <w:t xml:space="preserve"> is means square error, </w:t>
      </w:r>
      <m:oMath>
        <m:r>
          <w:rPr>
            <w:rFonts w:ascii="Cambria Math" w:hAnsi="Cambria Math"/>
            <w:lang w:val="en-US"/>
          </w:rPr>
          <m:t>k</m:t>
        </m:r>
      </m:oMath>
      <w:r>
        <w:rPr>
          <w:lang w:val="en-US"/>
        </w:rPr>
        <w:t xml:space="preserve"> and </w:t>
      </w:r>
      <m:oMath>
        <m:r>
          <w:rPr>
            <w:rFonts w:ascii="Cambria Math" w:hAnsi="Cambria Math"/>
            <w:lang w:val="en-US"/>
          </w:rPr>
          <m:t>n</m:t>
        </m:r>
      </m:oMath>
      <w:r>
        <w:rPr>
          <w:lang w:val="en-US"/>
        </w:rPr>
        <w:t xml:space="preserve"> show number of observer and the participant involved.</w:t>
      </w:r>
      <w:r w:rsidR="005A1397" w:rsidRPr="005A1397">
        <w:rPr>
          <w:lang w:val="en-US"/>
        </w:rPr>
        <w:t xml:space="preserve"> </w:t>
      </w:r>
    </w:p>
    <w:p w14:paraId="4F1B84BB" w14:textId="3BED3F27" w:rsidR="00753FF0" w:rsidRPr="005B2A2D" w:rsidRDefault="00753FF0" w:rsidP="00753FF0">
      <w:pPr>
        <w:pStyle w:val="BodyText"/>
        <w:rPr>
          <w:lang w:val="en-US"/>
        </w:rPr>
      </w:pPr>
      <w:r w:rsidRPr="00753FF0">
        <w:rPr>
          <w:lang w:val="en-US"/>
        </w:rPr>
        <w:t xml:space="preserve">According to Koo and Li </w:t>
      </w:r>
      <w:r>
        <w:rPr>
          <w:lang w:val="en-US"/>
        </w:rPr>
        <w:fldChar w:fldCharType="begin" w:fldLock="1"/>
      </w:r>
      <w:r w:rsidR="00A86525">
        <w:rPr>
          <w:lang w:val="en-US"/>
        </w:rPr>
        <w:instrText>ADDIN CSL_CITATION {"citationItems":[{"id":"ITEM-1","itemData":{"DOI":"10.1016/j.jcm.2016.02.012","ISSN":"1556-3707","author":[{"dropping-particle":"","family":"Koo","given":"Terry K","non-dropping-particle":"","parse-names":false,"suffix":""},{"dropping-particle":"","family":"Li","given":"Mae Y","non-dropping-particle":"","parse-names":false,"suffix":""}],"container-title":"Journal of Chiropractic Medicine","id":"ITEM-1","issued":{"date-parts":[["2015"]]},"publisher":"Elsevier B.V.","title":"A Guideline of Selecting and Reporting Intraclass Correlation Coefficients for Reliability Research","type":"article-journal"},"uris":["http://www.mendeley.com/documents/?uuid=632bb3de-77ca-474c-87f5-e45bc0538a0b"]}],"mendeley":{"formattedCitation":"[13]","plainTextFormattedCitation":"[13]","previouslyFormattedCitation":"[13]"},"properties":{"noteIndex":0},"schema":"https://github.com/citation-style-language/schema/raw/master/csl-citation.json"}</w:instrText>
      </w:r>
      <w:r>
        <w:rPr>
          <w:lang w:val="en-US"/>
        </w:rPr>
        <w:fldChar w:fldCharType="separate"/>
      </w:r>
      <w:r w:rsidRPr="00753FF0">
        <w:rPr>
          <w:noProof/>
          <w:lang w:val="en-US"/>
        </w:rPr>
        <w:t>[13]</w:t>
      </w:r>
      <w:r>
        <w:rPr>
          <w:lang w:val="en-US"/>
        </w:rPr>
        <w:fldChar w:fldCharType="end"/>
      </w:r>
      <w:r w:rsidRPr="00753FF0">
        <w:rPr>
          <w:lang w:val="en-US"/>
        </w:rPr>
        <w:t xml:space="preserve"> the ICC interpretation results for </w:t>
      </w:r>
      <w:r w:rsidRPr="005B2A2D">
        <w:rPr>
          <w:lang w:val="en-US"/>
        </w:rPr>
        <w:t>inter-rater agreements are divided into 4 groups:</w:t>
      </w:r>
    </w:p>
    <w:p w14:paraId="7C31AD5D" w14:textId="42CA357E" w:rsidR="005B2A2D" w:rsidRPr="005B2A2D" w:rsidRDefault="005B2A2D" w:rsidP="005B2A2D">
      <w:pPr>
        <w:pStyle w:val="BodyText"/>
        <w:numPr>
          <w:ilvl w:val="0"/>
          <w:numId w:val="25"/>
        </w:numPr>
        <w:ind w:left="630"/>
        <w:rPr>
          <w:lang w:val="en-US"/>
        </w:rPr>
      </w:pPr>
      <w:r w:rsidRPr="005B2A2D">
        <w:rPr>
          <w:lang w:val="en-US"/>
        </w:rPr>
        <w:t>Poor Reliability: ICC &lt; 0,5</w:t>
      </w:r>
    </w:p>
    <w:p w14:paraId="18D4D4E7" w14:textId="77777777" w:rsidR="005B2A2D" w:rsidRPr="005B2A2D" w:rsidRDefault="005B2A2D" w:rsidP="005B2A2D">
      <w:pPr>
        <w:pStyle w:val="BodyText"/>
        <w:numPr>
          <w:ilvl w:val="0"/>
          <w:numId w:val="25"/>
        </w:numPr>
        <w:ind w:left="630"/>
        <w:rPr>
          <w:lang w:val="en-US"/>
        </w:rPr>
      </w:pPr>
      <w:r w:rsidRPr="005B2A2D">
        <w:rPr>
          <w:lang w:val="en-US"/>
        </w:rPr>
        <w:t>Moderate Reliability: 0,5 ≤ ICC &lt; 0,75</w:t>
      </w:r>
    </w:p>
    <w:p w14:paraId="37F86F2B" w14:textId="77777777" w:rsidR="005B2A2D" w:rsidRPr="005B2A2D" w:rsidRDefault="005B2A2D" w:rsidP="005B2A2D">
      <w:pPr>
        <w:pStyle w:val="BodyText"/>
        <w:numPr>
          <w:ilvl w:val="0"/>
          <w:numId w:val="25"/>
        </w:numPr>
        <w:ind w:left="630"/>
        <w:rPr>
          <w:lang w:val="en-US"/>
        </w:rPr>
      </w:pPr>
      <w:r w:rsidRPr="005B2A2D">
        <w:rPr>
          <w:lang w:val="en-US"/>
        </w:rPr>
        <w:t>Good Reliability: 0,75 ≤ ICC &lt; 0,9</w:t>
      </w:r>
    </w:p>
    <w:p w14:paraId="6FBD3C55" w14:textId="7920D75D" w:rsidR="00753FF0" w:rsidRPr="005B2A2D" w:rsidRDefault="005B2A2D" w:rsidP="005B2A2D">
      <w:pPr>
        <w:pStyle w:val="BodyText"/>
        <w:numPr>
          <w:ilvl w:val="0"/>
          <w:numId w:val="25"/>
        </w:numPr>
        <w:ind w:left="630"/>
        <w:rPr>
          <w:lang w:val="en-US"/>
        </w:rPr>
      </w:pPr>
      <w:r w:rsidRPr="005B2A2D">
        <w:rPr>
          <w:lang w:val="en-US"/>
        </w:rPr>
        <w:t xml:space="preserve">Excellent Reliability:  ICC ≥ 0,9 </w:t>
      </w:r>
    </w:p>
    <w:p w14:paraId="5A99EBF9" w14:textId="13B0C3BE" w:rsidR="005A1397" w:rsidRPr="005A1397" w:rsidRDefault="00753FF0" w:rsidP="005A1397">
      <w:pPr>
        <w:pStyle w:val="Heading1"/>
        <w:rPr>
          <w:noProof w:val="0"/>
        </w:rPr>
      </w:pPr>
      <w:r>
        <w:rPr>
          <w:noProof w:val="0"/>
        </w:rPr>
        <w:t>Results and Discussion</w:t>
      </w:r>
    </w:p>
    <w:p w14:paraId="5DFE9103" w14:textId="3AC8302C" w:rsidR="005A1397" w:rsidRPr="005A1397" w:rsidRDefault="00B56480" w:rsidP="005A1397">
      <w:pPr>
        <w:pStyle w:val="BodyText"/>
        <w:rPr>
          <w:lang w:val="en-US"/>
        </w:rPr>
      </w:pPr>
      <w:r w:rsidRPr="00B56480">
        <w:rPr>
          <w:lang w:val="en-US"/>
        </w:rPr>
        <w:t>Radiomic features obtained from segmented tumors which then go through an extraction process consisting of First-Order feature groups, GLCM, GLRLM, GLSZM, GLDM, and NGTDM are assessed for reliability by testing with or without wavelets against noise interference. The specified noise consists of four different levels. Testing was also performed on other data similar to clinical evidence of liver tumors to validate the feature's reliability against other data. The instrumentation used in testing feature reliability is the Intra-class Correlation Coefficient (ICC).</w:t>
      </w:r>
    </w:p>
    <w:p w14:paraId="58141048" w14:textId="539AD496" w:rsidR="005A1397" w:rsidRPr="005A1397" w:rsidRDefault="00B56480" w:rsidP="005A1397">
      <w:pPr>
        <w:pStyle w:val="Heading2"/>
        <w:rPr>
          <w:noProof w:val="0"/>
        </w:rPr>
      </w:pPr>
      <w:r>
        <w:rPr>
          <w:noProof w:val="0"/>
        </w:rPr>
        <w:t>Robust Features Test in Various SNR</w:t>
      </w:r>
    </w:p>
    <w:p w14:paraId="14C18EF9" w14:textId="1442137B" w:rsidR="005A1397" w:rsidRDefault="00AD2537" w:rsidP="005A1397">
      <w:pPr>
        <w:pStyle w:val="BodyText"/>
        <w:rPr>
          <w:lang w:val="en-US"/>
        </w:rPr>
      </w:pPr>
      <w:r w:rsidRPr="00AD2537">
        <w:rPr>
          <w:lang w:val="en-US"/>
        </w:rPr>
        <w:t>Comparison of original Pyradiom</w:t>
      </w:r>
      <w:r>
        <w:rPr>
          <w:lang w:val="en-US"/>
        </w:rPr>
        <w:t>ics</w:t>
      </w:r>
      <w:r w:rsidRPr="00AD2537">
        <w:rPr>
          <w:lang w:val="en-US"/>
        </w:rPr>
        <w:t xml:space="preserve"> filter features with Wavelet Daubechies filter level 1 at SNR 30%, 50%, 80%, 90% applied to LiTS data. </w:t>
      </w:r>
      <w:r>
        <w:rPr>
          <w:lang w:val="en-US"/>
        </w:rPr>
        <w:t>From</w:t>
      </w:r>
      <w:r w:rsidRPr="00AD2537">
        <w:rPr>
          <w:lang w:val="en-US"/>
        </w:rPr>
        <w:t xml:space="preserve"> 20 subjects, only 16 subjects had tumors. The ICC</w:t>
      </w:r>
      <w:r>
        <w:rPr>
          <w:lang w:val="en-US"/>
        </w:rPr>
        <w:t xml:space="preserve"> </w:t>
      </w:r>
      <w:r w:rsidRPr="00AD2537">
        <w:rPr>
          <w:lang w:val="en-US"/>
        </w:rPr>
        <w:t>(2,1) radiomic features of the tumor are presented in Fig. 2 to Fig. 5</w:t>
      </w:r>
      <w:r>
        <w:rPr>
          <w:lang w:val="en-US"/>
        </w:rPr>
        <w:t>.</w:t>
      </w:r>
    </w:p>
    <w:p w14:paraId="32728F17" w14:textId="624CC1D1" w:rsidR="00AD2537" w:rsidRDefault="00AD2537" w:rsidP="005A1397">
      <w:pPr>
        <w:pStyle w:val="BodyText"/>
        <w:rPr>
          <w:lang w:val="en-US"/>
        </w:rPr>
      </w:pPr>
      <w:r w:rsidRPr="00AD2537">
        <w:rPr>
          <w:lang w:val="en-US"/>
        </w:rPr>
        <w:t>The feature groups in this data prove to be reliable for almost all features, except for the GLSZM feature which is unreliable with 80% noise addition. The feature group that has the highest reliability is GLCM and is included in the good agreement category, while the db1 wavelet derivative can improve the reproducibility of NGTDM features. It is also seen here that the SNR level does not affect the increase or decrease in the correlation.</w:t>
      </w:r>
    </w:p>
    <w:p w14:paraId="761E9BA8" w14:textId="613EF0DA" w:rsidR="00B24598" w:rsidRDefault="00B24598" w:rsidP="00B24598">
      <w:pPr>
        <w:pStyle w:val="BodyText"/>
        <w:ind w:firstLine="0"/>
        <w:rPr>
          <w:lang w:val="en-US"/>
        </w:rPr>
      </w:pPr>
      <w:r w:rsidRPr="005A1397">
        <w:rPr>
          <w:noProof/>
        </w:rPr>
        <mc:AlternateContent>
          <mc:Choice Requires="wps">
            <w:drawing>
              <wp:inline distT="0" distB="0" distL="0" distR="0" wp14:anchorId="67755A1B" wp14:editId="1C0EACB4">
                <wp:extent cx="2938145" cy="2165350"/>
                <wp:effectExtent l="0" t="0" r="14605" b="25400"/>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2165350"/>
                        </a:xfrm>
                        <a:prstGeom prst="rect">
                          <a:avLst/>
                        </a:prstGeom>
                        <a:solidFill>
                          <a:srgbClr val="FFFFFF"/>
                        </a:solidFill>
                        <a:ln w="9525">
                          <a:solidFill>
                            <a:schemeClr val="tx1"/>
                          </a:solidFill>
                          <a:miter lim="800000"/>
                          <a:headEnd/>
                          <a:tailEnd/>
                        </a:ln>
                      </wps:spPr>
                      <wps:txbx>
                        <w:txbxContent>
                          <w:p w14:paraId="0F467C16" w14:textId="77777777" w:rsidR="00B24598" w:rsidRDefault="00B24598" w:rsidP="00B24598">
                            <w:pPr>
                              <w:pStyle w:val="BodyText"/>
                              <w:ind w:firstLine="0"/>
                            </w:pPr>
                            <w:r>
                              <w:rPr>
                                <w:noProof/>
                              </w:rPr>
                              <w:drawing>
                                <wp:inline distT="0" distB="0" distL="0" distR="0" wp14:anchorId="5E1E7012" wp14:editId="50BE5242">
                                  <wp:extent cx="2842895" cy="2127250"/>
                                  <wp:effectExtent l="0" t="0" r="14605" b="6350"/>
                                  <wp:docPr id="14" name="Chart 14">
                                    <a:extLst xmlns:a="http://schemas.openxmlformats.org/drawingml/2006/main">
                                      <a:ext uri="{FF2B5EF4-FFF2-40B4-BE49-F238E27FC236}">
                                        <a16:creationId xmlns:a16="http://schemas.microsoft.com/office/drawing/2014/main" id="{8EE467CF-1924-488E-8CF7-AC14CF2A2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67755A1B" id="Text Box 22" o:spid="_x0000_s1027" type="#_x0000_t202" style="width:231.35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" strokecolor="black [3213]">
                <v:textbox>
                  <w:txbxContent>
                    <w:p w14:paraId="0F467C16" w14:textId="77777777" w:rsidR="00B24598" w:rsidRDefault="00B24598" w:rsidP="00B24598">
                      <w:pPr>
                        <w:pStyle w:val="BodyText"/>
                        <w:ind w:firstLine="0"/>
                      </w:pPr>
                      <w:r>
                        <w:rPr>
                          <w:noProof/>
                        </w:rPr>
                        <w:drawing>
                          <wp:inline distT="0" distB="0" distL="0" distR="0" wp14:anchorId="5E1E7012" wp14:editId="50BE5242">
                            <wp:extent cx="2842895" cy="2127250"/>
                            <wp:effectExtent l="0" t="0" r="14605" b="6350"/>
                            <wp:docPr id="14" name="Chart 14">
                              <a:extLst xmlns:a="http://schemas.openxmlformats.org/drawingml/2006/main">
                                <a:ext uri="{FF2B5EF4-FFF2-40B4-BE49-F238E27FC236}">
                                  <a16:creationId xmlns:a16="http://schemas.microsoft.com/office/drawing/2014/main" id="{8EE467CF-1924-488E-8CF7-AC14CF2A2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anchorlock/>
              </v:shape>
            </w:pict>
          </mc:Fallback>
        </mc:AlternateContent>
      </w:r>
    </w:p>
    <w:p w14:paraId="5CF906FE" w14:textId="7451A97E" w:rsidR="00B24598" w:rsidRDefault="00B24598" w:rsidP="00B24598">
      <w:pPr>
        <w:pStyle w:val="figurecaption"/>
        <w:ind w:left="540" w:hanging="540"/>
      </w:pPr>
      <w:r w:rsidRPr="00B24598">
        <w:t>Graph of feature reliability from LiTS data with the addition of the 30% SNR noise parameter</w:t>
      </w:r>
      <w:r>
        <w:t xml:space="preserve">. </w:t>
      </w:r>
    </w:p>
    <w:p w14:paraId="254AF729" w14:textId="09C736B9" w:rsidR="000675F2" w:rsidRDefault="000675F2" w:rsidP="000675F2">
      <w:pPr>
        <w:pStyle w:val="figurecaption"/>
        <w:numPr>
          <w:ilvl w:val="0"/>
          <w:numId w:val="0"/>
        </w:numPr>
      </w:pPr>
      <w:r w:rsidRPr="005A1397">
        <w:lastRenderedPageBreak/>
        <mc:AlternateContent>
          <mc:Choice Requires="wps">
            <w:drawing>
              <wp:inline distT="0" distB="0" distL="0" distR="0" wp14:anchorId="3A8B1001" wp14:editId="03F1C411">
                <wp:extent cx="2938145" cy="2352675"/>
                <wp:effectExtent l="0" t="0" r="14605" b="28575"/>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2352675"/>
                        </a:xfrm>
                        <a:prstGeom prst="rect">
                          <a:avLst/>
                        </a:prstGeom>
                        <a:solidFill>
                          <a:srgbClr val="FFFFFF"/>
                        </a:solidFill>
                        <a:ln w="9525">
                          <a:solidFill>
                            <a:schemeClr val="tx1"/>
                          </a:solidFill>
                          <a:miter lim="800000"/>
                          <a:headEnd/>
                          <a:tailEnd/>
                        </a:ln>
                      </wps:spPr>
                      <wps:txbx>
                        <w:txbxContent>
                          <w:p w14:paraId="47F8A68D" w14:textId="77777777" w:rsidR="000675F2" w:rsidRDefault="000675F2" w:rsidP="000675F2">
                            <w:pPr>
                              <w:pStyle w:val="BodyText"/>
                              <w:ind w:firstLine="0"/>
                            </w:pPr>
                            <w:r>
                              <w:rPr>
                                <w:noProof/>
                              </w:rPr>
                              <w:drawing>
                                <wp:inline distT="0" distB="0" distL="0" distR="0" wp14:anchorId="72184979" wp14:editId="28C7885E">
                                  <wp:extent cx="2842895" cy="2305050"/>
                                  <wp:effectExtent l="0" t="0" r="14605" b="0"/>
                                  <wp:docPr id="47" name="Chart 47">
                                    <a:extLst xmlns:a="http://schemas.openxmlformats.org/drawingml/2006/main">
                                      <a:ext uri="{FF2B5EF4-FFF2-40B4-BE49-F238E27FC236}">
                                        <a16:creationId xmlns:a16="http://schemas.microsoft.com/office/drawing/2014/main" id="{492E6851-6B3E-4DCE-BEB8-4B040EDAE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3A8B1001" id="_x0000_s1028" type="#_x0000_t202" style="width:231.3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" strokecolor="black [3213]">
                <v:textbox>
                  <w:txbxContent>
                    <w:p w14:paraId="47F8A68D" w14:textId="77777777" w:rsidR="000675F2" w:rsidRDefault="000675F2" w:rsidP="000675F2">
                      <w:pPr>
                        <w:pStyle w:val="BodyText"/>
                        <w:ind w:firstLine="0"/>
                      </w:pPr>
                      <w:r>
                        <w:rPr>
                          <w:noProof/>
                        </w:rPr>
                        <w:drawing>
                          <wp:inline distT="0" distB="0" distL="0" distR="0" wp14:anchorId="72184979" wp14:editId="28C7885E">
                            <wp:extent cx="2842895" cy="2305050"/>
                            <wp:effectExtent l="0" t="0" r="14605" b="0"/>
                            <wp:docPr id="47" name="Chart 47">
                              <a:extLst xmlns:a="http://schemas.openxmlformats.org/drawingml/2006/main">
                                <a:ext uri="{FF2B5EF4-FFF2-40B4-BE49-F238E27FC236}">
                                  <a16:creationId xmlns:a16="http://schemas.microsoft.com/office/drawing/2014/main" id="{492E6851-6B3E-4DCE-BEB8-4B040EDAE2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xbxContent>
                </v:textbox>
                <w10:anchorlock/>
              </v:shape>
            </w:pict>
          </mc:Fallback>
        </mc:AlternateContent>
      </w:r>
    </w:p>
    <w:p w14:paraId="0BB32B66" w14:textId="7BFA33D5" w:rsidR="000675F2" w:rsidRDefault="000675F2" w:rsidP="00B24598">
      <w:pPr>
        <w:pStyle w:val="figurecaption"/>
        <w:ind w:left="540" w:hanging="540"/>
      </w:pPr>
      <w:r w:rsidRPr="00B24598">
        <w:t xml:space="preserve">Graph of feature reliability from LiTS data with the addition of the </w:t>
      </w:r>
      <w:r>
        <w:t>5</w:t>
      </w:r>
      <w:r w:rsidRPr="00B24598">
        <w:t>0% SNR noise parameter</w:t>
      </w:r>
      <w:r>
        <w:t>.</w:t>
      </w:r>
    </w:p>
    <w:p w14:paraId="48A3694A" w14:textId="7470F431" w:rsidR="000675F2" w:rsidRDefault="000675F2" w:rsidP="000675F2">
      <w:pPr>
        <w:pStyle w:val="figurecaption"/>
        <w:numPr>
          <w:ilvl w:val="0"/>
          <w:numId w:val="0"/>
        </w:numPr>
      </w:pPr>
      <w:r w:rsidRPr="005A1397">
        <mc:AlternateContent>
          <mc:Choice Requires="wps">
            <w:drawing>
              <wp:inline distT="0" distB="0" distL="0" distR="0" wp14:anchorId="7EA4788C" wp14:editId="06B18C52">
                <wp:extent cx="2938145" cy="2352675"/>
                <wp:effectExtent l="0" t="0" r="14605" b="28575"/>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2352675"/>
                        </a:xfrm>
                        <a:prstGeom prst="rect">
                          <a:avLst/>
                        </a:prstGeom>
                        <a:solidFill>
                          <a:srgbClr val="FFFFFF"/>
                        </a:solidFill>
                        <a:ln w="9525">
                          <a:solidFill>
                            <a:schemeClr val="tx1"/>
                          </a:solidFill>
                          <a:miter lim="800000"/>
                          <a:headEnd/>
                          <a:tailEnd/>
                        </a:ln>
                      </wps:spPr>
                      <wps:txbx>
                        <w:txbxContent>
                          <w:p w14:paraId="400B1FEA" w14:textId="77777777" w:rsidR="000675F2" w:rsidRDefault="000675F2" w:rsidP="000675F2">
                            <w:pPr>
                              <w:pStyle w:val="BodyText"/>
                              <w:ind w:firstLine="0"/>
                            </w:pPr>
                            <w:r>
                              <w:rPr>
                                <w:noProof/>
                              </w:rPr>
                              <w:drawing>
                                <wp:inline distT="0" distB="0" distL="0" distR="0" wp14:anchorId="35017142" wp14:editId="1362CBCB">
                                  <wp:extent cx="2842895" cy="2305050"/>
                                  <wp:effectExtent l="0" t="0" r="14605" b="0"/>
                                  <wp:docPr id="48" name="Chart 48">
                                    <a:extLst xmlns:a="http://schemas.openxmlformats.org/drawingml/2006/main">
                                      <a:ext uri="{FF2B5EF4-FFF2-40B4-BE49-F238E27FC236}">
                                        <a16:creationId xmlns:a16="http://schemas.microsoft.com/office/drawing/2014/main" id="{DAB39BAE-5909-42BA-BA81-9708CB35E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7EA4788C" id="_x0000_s1029" type="#_x0000_t202" style="width:231.3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" strokecolor="black [3213]">
                <v:textbox>
                  <w:txbxContent>
                    <w:p w14:paraId="400B1FEA" w14:textId="77777777" w:rsidR="000675F2" w:rsidRDefault="000675F2" w:rsidP="000675F2">
                      <w:pPr>
                        <w:pStyle w:val="BodyText"/>
                        <w:ind w:firstLine="0"/>
                      </w:pPr>
                      <w:r>
                        <w:rPr>
                          <w:noProof/>
                        </w:rPr>
                        <w:drawing>
                          <wp:inline distT="0" distB="0" distL="0" distR="0" wp14:anchorId="35017142" wp14:editId="1362CBCB">
                            <wp:extent cx="2842895" cy="2305050"/>
                            <wp:effectExtent l="0" t="0" r="14605" b="0"/>
                            <wp:docPr id="48" name="Chart 48">
                              <a:extLst xmlns:a="http://schemas.openxmlformats.org/drawingml/2006/main">
                                <a:ext uri="{FF2B5EF4-FFF2-40B4-BE49-F238E27FC236}">
                                  <a16:creationId xmlns:a16="http://schemas.microsoft.com/office/drawing/2014/main" id="{DAB39BAE-5909-42BA-BA81-9708CB35EC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xbxContent>
                </v:textbox>
                <w10:anchorlock/>
              </v:shape>
            </w:pict>
          </mc:Fallback>
        </mc:AlternateContent>
      </w:r>
    </w:p>
    <w:p w14:paraId="7B5D64A5" w14:textId="350FB27F" w:rsidR="000675F2" w:rsidRDefault="000675F2" w:rsidP="000675F2">
      <w:pPr>
        <w:pStyle w:val="figurecaption"/>
        <w:ind w:left="540" w:hanging="540"/>
      </w:pPr>
      <w:r w:rsidRPr="00B24598">
        <w:t xml:space="preserve">Graph of feature reliability from LiTS data with the addition of the </w:t>
      </w:r>
      <w:r>
        <w:t>8</w:t>
      </w:r>
      <w:r w:rsidRPr="00B24598">
        <w:t>0% SNR noise parameter</w:t>
      </w:r>
      <w:r>
        <w:t>.</w:t>
      </w:r>
    </w:p>
    <w:p w14:paraId="363F8DED" w14:textId="066350FD" w:rsidR="000675F2" w:rsidRDefault="000675F2" w:rsidP="000675F2">
      <w:pPr>
        <w:pStyle w:val="figurecaption"/>
        <w:numPr>
          <w:ilvl w:val="0"/>
          <w:numId w:val="0"/>
        </w:numPr>
        <w:ind w:left="360" w:hanging="360"/>
      </w:pPr>
      <w:r w:rsidRPr="005A1397">
        <mc:AlternateContent>
          <mc:Choice Requires="wps">
            <w:drawing>
              <wp:inline distT="0" distB="0" distL="0" distR="0" wp14:anchorId="0AC3378D" wp14:editId="7E36C8CD">
                <wp:extent cx="2938145" cy="2352675"/>
                <wp:effectExtent l="0" t="0" r="14605" b="28575"/>
                <wp:docPr id="1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8145" cy="2352675"/>
                        </a:xfrm>
                        <a:prstGeom prst="rect">
                          <a:avLst/>
                        </a:prstGeom>
                        <a:solidFill>
                          <a:srgbClr val="FFFFFF"/>
                        </a:solidFill>
                        <a:ln w="9525">
                          <a:solidFill>
                            <a:schemeClr val="tx1"/>
                          </a:solidFill>
                          <a:miter lim="800000"/>
                          <a:headEnd/>
                          <a:tailEnd/>
                        </a:ln>
                      </wps:spPr>
                      <wps:txbx>
                        <w:txbxContent>
                          <w:p w14:paraId="3F348421" w14:textId="77777777" w:rsidR="000675F2" w:rsidRDefault="000675F2" w:rsidP="000675F2">
                            <w:pPr>
                              <w:pStyle w:val="BodyText"/>
                              <w:ind w:firstLine="0"/>
                            </w:pPr>
                            <w:r>
                              <w:rPr>
                                <w:noProof/>
                              </w:rPr>
                              <w:drawing>
                                <wp:inline distT="0" distB="0" distL="0" distR="0" wp14:anchorId="77946CC0" wp14:editId="141D0B65">
                                  <wp:extent cx="2842895" cy="2305050"/>
                                  <wp:effectExtent l="0" t="0" r="14605" b="0"/>
                                  <wp:docPr id="49" name="Chart 49">
                                    <a:extLst xmlns:a="http://schemas.openxmlformats.org/drawingml/2006/main">
                                      <a:ext uri="{FF2B5EF4-FFF2-40B4-BE49-F238E27FC236}">
                                        <a16:creationId xmlns:a16="http://schemas.microsoft.com/office/drawing/2014/main" id="{EC2C69BE-B65B-432E-B309-AB1E35DB5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0AC3378D" id="_x0000_s1030" type="#_x0000_t202" style="width:231.35pt;height:18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" strokecolor="black [3213]">
                <v:textbox>
                  <w:txbxContent>
                    <w:p w14:paraId="3F348421" w14:textId="77777777" w:rsidR="000675F2" w:rsidRDefault="000675F2" w:rsidP="000675F2">
                      <w:pPr>
                        <w:pStyle w:val="BodyText"/>
                        <w:ind w:firstLine="0"/>
                      </w:pPr>
                      <w:r>
                        <w:rPr>
                          <w:noProof/>
                        </w:rPr>
                        <w:drawing>
                          <wp:inline distT="0" distB="0" distL="0" distR="0" wp14:anchorId="77946CC0" wp14:editId="141D0B65">
                            <wp:extent cx="2842895" cy="2305050"/>
                            <wp:effectExtent l="0" t="0" r="14605" b="0"/>
                            <wp:docPr id="49" name="Chart 49">
                              <a:extLst xmlns:a="http://schemas.openxmlformats.org/drawingml/2006/main">
                                <a:ext uri="{FF2B5EF4-FFF2-40B4-BE49-F238E27FC236}">
                                  <a16:creationId xmlns:a16="http://schemas.microsoft.com/office/drawing/2014/main" id="{EC2C69BE-B65B-432E-B309-AB1E35DB5E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xbxContent>
                </v:textbox>
                <w10:anchorlock/>
              </v:shape>
            </w:pict>
          </mc:Fallback>
        </mc:AlternateContent>
      </w:r>
    </w:p>
    <w:p w14:paraId="2B04F976" w14:textId="3252124C" w:rsidR="000675F2" w:rsidRDefault="000675F2" w:rsidP="000675F2">
      <w:pPr>
        <w:pStyle w:val="figurecaption"/>
        <w:ind w:left="540" w:hanging="540"/>
      </w:pPr>
      <w:r w:rsidRPr="00B24598">
        <w:t xml:space="preserve">Graph of feature reliability from LiTS data with the addition of the </w:t>
      </w:r>
      <w:r>
        <w:t>9</w:t>
      </w:r>
      <w:r w:rsidRPr="00B24598">
        <w:t>0% SNR noise parameter</w:t>
      </w:r>
      <w:r>
        <w:t>.</w:t>
      </w:r>
    </w:p>
    <w:p w14:paraId="6096A0C0" w14:textId="371F747F" w:rsidR="005A1397" w:rsidRDefault="00D24F17" w:rsidP="005A1397">
      <w:pPr>
        <w:pStyle w:val="Heading2"/>
        <w:rPr>
          <w:noProof w:val="0"/>
        </w:rPr>
      </w:pPr>
      <w:r>
        <w:rPr>
          <w:noProof w:val="0"/>
        </w:rPr>
        <w:t>Robust Features on Another Data</w:t>
      </w:r>
    </w:p>
    <w:p w14:paraId="4CC50AC5" w14:textId="0D0375EB" w:rsidR="00D24F17" w:rsidRDefault="00D24F17" w:rsidP="00D24F17">
      <w:pPr>
        <w:ind w:firstLine="288"/>
        <w:jc w:val="both"/>
      </w:pPr>
      <w:r w:rsidRPr="00D24F17">
        <w:t xml:space="preserve">Other liver tumor data used as test-retest data in assessing the reliability of radiomic features against noise is 3D-IRCADb-01. With features extracted in tumor sections and subjected to the same interference treatment as in the LiTS data. </w:t>
      </w:r>
      <w:r>
        <w:t>From</w:t>
      </w:r>
      <w:r w:rsidRPr="00D24F17">
        <w:t xml:space="preserve"> 20 available subjects, 15 subjects were found to have tumor labels. The results of the feature reliability assessment were carried out using ICC2, the assessment was focused on reviewing reliable feature groups and filter types.</w:t>
      </w:r>
    </w:p>
    <w:p w14:paraId="58CF5FDB" w14:textId="68EFE982" w:rsidR="007C1DBF" w:rsidRDefault="007C1DBF" w:rsidP="00D24F17">
      <w:pPr>
        <w:ind w:firstLine="288"/>
        <w:jc w:val="both"/>
      </w:pPr>
      <w:r w:rsidRPr="007C1DBF">
        <w:t>Table I shows that only the NGTDM texture feature group is quite reliable or is in the moderate category at almost all SNR levels. NGTDM is dominated by higher ICC values using wavelet derived features than without wavelets. While the second data is very different from the first data. There is no relationship between an increase in SNR and an increase in ICC values in this data. Apart from NGTDM, no feature group can be considered reliable. This may be because the original image without added noise is too dark, making it difficult to identify first-order features and other texture features.</w:t>
      </w:r>
    </w:p>
    <w:p w14:paraId="56DE103E" w14:textId="39DF7A65" w:rsidR="007C1DBF" w:rsidRDefault="007C1DBF" w:rsidP="00D24F17">
      <w:pPr>
        <w:ind w:firstLine="288"/>
        <w:jc w:val="both"/>
      </w:pPr>
      <w:r w:rsidRPr="007C1DBF">
        <w:t xml:space="preserve">For further research, it is recommended to carry out similar pre-processing stages for all data. For the second method, it is possible to track the type of mother wavelet and the level that has the highest performance. Wavelet Daubechies may be better than Haar, but not better than Symlet or Biorthogonal </w:t>
      </w:r>
      <w:r w:rsidR="00A86525">
        <w:fldChar w:fldCharType="begin" w:fldLock="1"/>
      </w:r>
      <w:r w:rsidR="00A86525">
        <w:instrText>ADDIN CSL_CITATION {"citationItems":[{"id":"ITEM-1","itemData":{"DOI":"10.1002/mp.13202","author":[{"dropping-particle":"","family":"Soufi","given":"Mazen","non-dropping-particle":"","parse-names":false,"suffix":""},{"dropping-particle":"","family":"Arimura","given":"Hidetaka","non-dropping-particle":"","parse-names":false,"suffix":""},{"dropping-particle":"","family":"Nagami","given":"Noriyuki","non-dropping-particle":"","parse-names":false,"suffix":""}],"id":"ITEM-1","issued":{"date-parts":[["0"]]},"title":"Article Type: Research Article Identification of optimal mother wavelets in survival prediction of lung cancer patients using wavelet decomposition-based radiomic features","type":"article-journal"},"uris":["http://www.mendeley.com/documents/?uuid=d71b5e2a-eed8-41de-9fb7-39a5b323799b"]}],"mendeley":{"formattedCitation":"[11]","plainTextFormattedCitation":"[11]","previouslyFormattedCitation":"[11]"},"properties":{"noteIndex":0},"schema":"https://github.com/citation-style-language/schema/raw/master/csl-citation.json"}</w:instrText>
      </w:r>
      <w:r w:rsidR="00A86525">
        <w:fldChar w:fldCharType="separate"/>
      </w:r>
      <w:r w:rsidR="00A86525" w:rsidRPr="00A86525">
        <w:rPr>
          <w:noProof/>
        </w:rPr>
        <w:t>[11]</w:t>
      </w:r>
      <w:r w:rsidR="00A86525">
        <w:fldChar w:fldCharType="end"/>
      </w:r>
      <w:r w:rsidRPr="007C1DBF">
        <w:t>. This can also be proven through performance in machine learning models such as research conducted by</w:t>
      </w:r>
      <w:r>
        <w:t xml:space="preserve"> Prinzi et al</w:t>
      </w:r>
      <w:r w:rsidRPr="007C1DBF">
        <w:t xml:space="preserve"> </w:t>
      </w:r>
      <w:r w:rsidR="00A86525">
        <w:fldChar w:fldCharType="begin" w:fldLock="1"/>
      </w:r>
      <w:r w:rsidR="00A86525">
        <w:instrText>ADDIN CSL_CITATION {"citationItems":[{"id":"ITEM-1","itemData":{"author":[{"dropping-particle":"","family":"Prinzi","given":"Francesco","non-dropping-particle":"","parse-names":false,"suffix":""},{"dropping-particle":"","family":"Militello","given":"Carmelo","non-dropping-particle":"","parse-names":false,"suffix":""},{"dropping-particle":"","family":"Conti","given":"Vincenzo","non-dropping-particle":"","parse-names":false,"suffix":""}],"id":"ITEM-1","issued":{"date-parts":[["2023"]]},"title":"Impact of Wavelet Kernels on Predictive Capability of Radiomic Features : A Case Study on COVID-19 Chest X-ray Images","type":"article-journal"},"uris":["http://www.mendeley.com/documents/?uuid=7a0f1891-db21-40a4-9b61-3e39098a0254"]}],"mendeley":{"formattedCitation":"[14]","plainTextFormattedCitation":"[14]"},"properties":{"noteIndex":0},"schema":"https://github.com/citation-style-language/schema/raw/master/csl-citation.json"}</w:instrText>
      </w:r>
      <w:r w:rsidR="00A86525">
        <w:fldChar w:fldCharType="separate"/>
      </w:r>
      <w:r w:rsidR="00A86525" w:rsidRPr="00A86525">
        <w:rPr>
          <w:noProof/>
        </w:rPr>
        <w:t>[14]</w:t>
      </w:r>
      <w:r w:rsidR="00A86525">
        <w:fldChar w:fldCharType="end"/>
      </w:r>
      <w:r w:rsidRPr="007C1DBF">
        <w:t>.</w:t>
      </w:r>
    </w:p>
    <w:p w14:paraId="0EB28F4A" w14:textId="0F360247" w:rsidR="000675F2" w:rsidRDefault="000675F2" w:rsidP="000675F2">
      <w:pPr>
        <w:pStyle w:val="tablehead"/>
        <w:tabs>
          <w:tab w:val="clear" w:pos="1080"/>
          <w:tab w:val="num" w:pos="2700"/>
        </w:tabs>
        <w:ind w:left="810" w:hanging="810"/>
        <w:jc w:val="both"/>
        <w:rPr>
          <w:noProof w:val="0"/>
        </w:rPr>
      </w:pPr>
      <w:r>
        <w:rPr>
          <w:noProof w:val="0"/>
        </w:rPr>
        <w:t>ICC 3D-IRCADb-01 on Original Radiomic Features and Wavelet Derived Features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210"/>
        <w:gridCol w:w="928"/>
        <w:gridCol w:w="1063"/>
        <w:gridCol w:w="1432"/>
      </w:tblGrid>
      <w:tr w:rsidR="007112E6" w:rsidRPr="005A1397" w14:paraId="69A78D27" w14:textId="77777777" w:rsidTr="00257D51">
        <w:trPr>
          <w:cantSplit/>
          <w:trHeight w:val="240"/>
          <w:tblHeader/>
          <w:jc w:val="center"/>
        </w:trPr>
        <w:tc>
          <w:tcPr>
            <w:tcW w:w="0" w:type="auto"/>
            <w:vAlign w:val="center"/>
          </w:tcPr>
          <w:p w14:paraId="22A7C408" w14:textId="77777777" w:rsidR="000675F2" w:rsidRDefault="000675F2" w:rsidP="00257D51">
            <w:pPr>
              <w:pStyle w:val="tablecolhead"/>
            </w:pPr>
            <w:r>
              <w:t>Data</w:t>
            </w:r>
          </w:p>
        </w:tc>
        <w:tc>
          <w:tcPr>
            <w:tcW w:w="0" w:type="auto"/>
            <w:vAlign w:val="center"/>
          </w:tcPr>
          <w:p w14:paraId="1918312A" w14:textId="312C4969" w:rsidR="000675F2" w:rsidRDefault="007112E6" w:rsidP="00257D51">
            <w:pPr>
              <w:pStyle w:val="tablecolhead"/>
            </w:pPr>
            <w:r>
              <w:t>Feature Cohort</w:t>
            </w:r>
          </w:p>
        </w:tc>
        <w:tc>
          <w:tcPr>
            <w:tcW w:w="0" w:type="auto"/>
            <w:vAlign w:val="center"/>
          </w:tcPr>
          <w:p w14:paraId="5022CBF5" w14:textId="54F5B3D2" w:rsidR="000675F2" w:rsidRDefault="000675F2" w:rsidP="00257D51">
            <w:pPr>
              <w:pStyle w:val="tablecolhead"/>
            </w:pPr>
            <w:r>
              <w:t xml:space="preserve">ICC </w:t>
            </w:r>
            <w:r w:rsidR="007112E6">
              <w:t>of Original Feature</w:t>
            </w:r>
          </w:p>
        </w:tc>
        <w:tc>
          <w:tcPr>
            <w:tcW w:w="0" w:type="auto"/>
            <w:vAlign w:val="center"/>
          </w:tcPr>
          <w:p w14:paraId="61F75C94" w14:textId="7E8265EA" w:rsidR="000675F2" w:rsidRDefault="000675F2" w:rsidP="00257D51">
            <w:pPr>
              <w:pStyle w:val="tablecolhead"/>
            </w:pPr>
            <w:r>
              <w:t xml:space="preserve">ICC </w:t>
            </w:r>
            <w:r w:rsidR="007112E6">
              <w:t xml:space="preserve">of </w:t>
            </w:r>
            <w:r>
              <w:t>Daubechies Wavelet</w:t>
            </w:r>
            <w:r w:rsidR="007112E6">
              <w:t xml:space="preserve"> Features</w:t>
            </w:r>
          </w:p>
        </w:tc>
      </w:tr>
      <w:tr w:rsidR="007112E6" w:rsidRPr="005A1397" w14:paraId="04D8EE9A" w14:textId="77777777" w:rsidTr="00257D51">
        <w:trPr>
          <w:cantSplit/>
          <w:trHeight w:val="240"/>
          <w:tblHeader/>
          <w:jc w:val="center"/>
        </w:trPr>
        <w:tc>
          <w:tcPr>
            <w:tcW w:w="0" w:type="auto"/>
            <w:vMerge w:val="restart"/>
          </w:tcPr>
          <w:p w14:paraId="5BDF06E1" w14:textId="2960F5B9" w:rsidR="000675F2" w:rsidRPr="005A1397" w:rsidRDefault="007112E6" w:rsidP="00257D51">
            <w:pPr>
              <w:pStyle w:val="tablecopy"/>
              <w:jc w:val="left"/>
            </w:pPr>
            <w:r>
              <w:rPr>
                <w:noProof w:val="0"/>
              </w:rPr>
              <w:t>Noise additional with SN</w:t>
            </w:r>
            <w:r w:rsidR="000675F2">
              <w:rPr>
                <w:noProof w:val="0"/>
              </w:rPr>
              <w:t>R 30%</w:t>
            </w:r>
          </w:p>
        </w:tc>
        <w:tc>
          <w:tcPr>
            <w:tcW w:w="0" w:type="auto"/>
            <w:vAlign w:val="center"/>
          </w:tcPr>
          <w:p w14:paraId="1617CD4B" w14:textId="77777777" w:rsidR="000675F2" w:rsidRPr="00FA0112" w:rsidRDefault="000675F2" w:rsidP="00257D51">
            <w:pPr>
              <w:jc w:val="left"/>
              <w:rPr>
                <w:sz w:val="16"/>
                <w:szCs w:val="16"/>
              </w:rPr>
            </w:pPr>
            <w:r w:rsidRPr="00FA0112">
              <w:rPr>
                <w:color w:val="000000"/>
                <w:sz w:val="16"/>
                <w:szCs w:val="16"/>
              </w:rPr>
              <w:t>firstorder</w:t>
            </w:r>
          </w:p>
        </w:tc>
        <w:tc>
          <w:tcPr>
            <w:tcW w:w="0" w:type="auto"/>
            <w:vAlign w:val="center"/>
          </w:tcPr>
          <w:p w14:paraId="2A2B6AC6" w14:textId="77777777" w:rsidR="000675F2" w:rsidRPr="00FA0112" w:rsidRDefault="000675F2" w:rsidP="00257D51">
            <w:pPr>
              <w:rPr>
                <w:sz w:val="16"/>
                <w:szCs w:val="16"/>
              </w:rPr>
            </w:pPr>
            <w:r w:rsidRPr="00FA0112">
              <w:rPr>
                <w:color w:val="000000"/>
                <w:sz w:val="16"/>
                <w:szCs w:val="16"/>
              </w:rPr>
              <w:t>0.352</w:t>
            </w:r>
          </w:p>
        </w:tc>
        <w:tc>
          <w:tcPr>
            <w:tcW w:w="0" w:type="auto"/>
            <w:vAlign w:val="center"/>
          </w:tcPr>
          <w:p w14:paraId="5EABEE11" w14:textId="77777777" w:rsidR="000675F2" w:rsidRPr="00FA0112" w:rsidRDefault="000675F2" w:rsidP="00257D51">
            <w:pPr>
              <w:rPr>
                <w:sz w:val="16"/>
                <w:szCs w:val="16"/>
              </w:rPr>
            </w:pPr>
            <w:r w:rsidRPr="00FA0112">
              <w:rPr>
                <w:color w:val="000000"/>
                <w:sz w:val="16"/>
                <w:szCs w:val="16"/>
              </w:rPr>
              <w:t>0.341</w:t>
            </w:r>
          </w:p>
        </w:tc>
      </w:tr>
      <w:tr w:rsidR="007112E6" w:rsidRPr="005A1397" w14:paraId="4D7B6581" w14:textId="77777777" w:rsidTr="00257D51">
        <w:trPr>
          <w:trHeight w:val="320"/>
          <w:jc w:val="center"/>
        </w:trPr>
        <w:tc>
          <w:tcPr>
            <w:tcW w:w="0" w:type="auto"/>
            <w:vMerge/>
          </w:tcPr>
          <w:p w14:paraId="1146370E" w14:textId="77777777" w:rsidR="000675F2" w:rsidRPr="005A1397" w:rsidRDefault="000675F2" w:rsidP="00257D51">
            <w:pPr>
              <w:pStyle w:val="tablecopy"/>
              <w:jc w:val="left"/>
              <w:rPr>
                <w:noProof w:val="0"/>
              </w:rPr>
            </w:pPr>
          </w:p>
        </w:tc>
        <w:tc>
          <w:tcPr>
            <w:tcW w:w="0" w:type="auto"/>
            <w:vAlign w:val="center"/>
          </w:tcPr>
          <w:p w14:paraId="4DBAD4E6" w14:textId="77777777" w:rsidR="000675F2" w:rsidRPr="00FA0112" w:rsidRDefault="000675F2" w:rsidP="00257D51">
            <w:pPr>
              <w:pStyle w:val="tablecopy"/>
              <w:jc w:val="left"/>
              <w:rPr>
                <w:noProof w:val="0"/>
              </w:rPr>
            </w:pPr>
            <w:r w:rsidRPr="00FA0112">
              <w:rPr>
                <w:color w:val="000000"/>
              </w:rPr>
              <w:t>GLCM</w:t>
            </w:r>
          </w:p>
        </w:tc>
        <w:tc>
          <w:tcPr>
            <w:tcW w:w="0" w:type="auto"/>
            <w:vAlign w:val="center"/>
          </w:tcPr>
          <w:p w14:paraId="138659F8" w14:textId="77777777" w:rsidR="000675F2" w:rsidRPr="00FA0112" w:rsidRDefault="000675F2" w:rsidP="00257D51">
            <w:pPr>
              <w:pStyle w:val="tablecopy"/>
              <w:jc w:val="center"/>
              <w:rPr>
                <w:noProof w:val="0"/>
              </w:rPr>
            </w:pPr>
            <w:r>
              <w:rPr>
                <w:color w:val="000000"/>
              </w:rPr>
              <w:t>0.400</w:t>
            </w:r>
          </w:p>
        </w:tc>
        <w:tc>
          <w:tcPr>
            <w:tcW w:w="0" w:type="auto"/>
            <w:vAlign w:val="center"/>
          </w:tcPr>
          <w:p w14:paraId="24362D7A" w14:textId="77777777" w:rsidR="000675F2" w:rsidRPr="00FA0112" w:rsidRDefault="000675F2" w:rsidP="00257D51">
            <w:pPr>
              <w:pStyle w:val="tablecopy"/>
              <w:jc w:val="center"/>
              <w:rPr>
                <w:noProof w:val="0"/>
              </w:rPr>
            </w:pPr>
            <w:r>
              <w:rPr>
                <w:color w:val="000000"/>
              </w:rPr>
              <w:t>0.300</w:t>
            </w:r>
          </w:p>
        </w:tc>
      </w:tr>
      <w:tr w:rsidR="007112E6" w:rsidRPr="005A1397" w14:paraId="2A8B8E00" w14:textId="77777777" w:rsidTr="00257D51">
        <w:trPr>
          <w:trHeight w:val="320"/>
          <w:jc w:val="center"/>
        </w:trPr>
        <w:tc>
          <w:tcPr>
            <w:tcW w:w="0" w:type="auto"/>
            <w:vMerge/>
          </w:tcPr>
          <w:p w14:paraId="11F1EAF2" w14:textId="77777777" w:rsidR="000675F2" w:rsidRPr="005A1397" w:rsidRDefault="000675F2" w:rsidP="00257D51">
            <w:pPr>
              <w:pStyle w:val="tablecopy"/>
              <w:jc w:val="left"/>
              <w:rPr>
                <w:noProof w:val="0"/>
              </w:rPr>
            </w:pPr>
          </w:p>
        </w:tc>
        <w:tc>
          <w:tcPr>
            <w:tcW w:w="0" w:type="auto"/>
            <w:vAlign w:val="center"/>
          </w:tcPr>
          <w:p w14:paraId="08CEFAAB" w14:textId="77777777" w:rsidR="000675F2" w:rsidRPr="00FA0112" w:rsidRDefault="000675F2" w:rsidP="00257D51">
            <w:pPr>
              <w:pStyle w:val="tablecopy"/>
              <w:jc w:val="left"/>
              <w:rPr>
                <w:noProof w:val="0"/>
              </w:rPr>
            </w:pPr>
            <w:r w:rsidRPr="00FA0112">
              <w:rPr>
                <w:color w:val="000000"/>
              </w:rPr>
              <w:t>GLRLM</w:t>
            </w:r>
          </w:p>
        </w:tc>
        <w:tc>
          <w:tcPr>
            <w:tcW w:w="0" w:type="auto"/>
            <w:vAlign w:val="center"/>
          </w:tcPr>
          <w:p w14:paraId="077320CE" w14:textId="77777777" w:rsidR="000675F2" w:rsidRPr="00FA0112" w:rsidRDefault="000675F2" w:rsidP="00257D51">
            <w:pPr>
              <w:pStyle w:val="tablecopy"/>
              <w:jc w:val="center"/>
              <w:rPr>
                <w:noProof w:val="0"/>
              </w:rPr>
            </w:pPr>
            <w:r>
              <w:rPr>
                <w:color w:val="000000"/>
              </w:rPr>
              <w:t>0.355</w:t>
            </w:r>
          </w:p>
        </w:tc>
        <w:tc>
          <w:tcPr>
            <w:tcW w:w="0" w:type="auto"/>
            <w:vAlign w:val="center"/>
          </w:tcPr>
          <w:p w14:paraId="66BE3887" w14:textId="77777777" w:rsidR="000675F2" w:rsidRPr="00FA0112" w:rsidRDefault="000675F2" w:rsidP="00257D51">
            <w:pPr>
              <w:pStyle w:val="tablecopy"/>
              <w:jc w:val="center"/>
              <w:rPr>
                <w:noProof w:val="0"/>
              </w:rPr>
            </w:pPr>
            <w:r>
              <w:rPr>
                <w:color w:val="000000"/>
              </w:rPr>
              <w:t>0.341</w:t>
            </w:r>
          </w:p>
        </w:tc>
      </w:tr>
      <w:tr w:rsidR="007112E6" w:rsidRPr="005A1397" w14:paraId="08913EE2" w14:textId="77777777" w:rsidTr="00257D51">
        <w:trPr>
          <w:trHeight w:val="320"/>
          <w:jc w:val="center"/>
        </w:trPr>
        <w:tc>
          <w:tcPr>
            <w:tcW w:w="0" w:type="auto"/>
            <w:vMerge/>
          </w:tcPr>
          <w:p w14:paraId="46D3729C" w14:textId="77777777" w:rsidR="000675F2" w:rsidRPr="005A1397" w:rsidRDefault="000675F2" w:rsidP="00257D51">
            <w:pPr>
              <w:pStyle w:val="tablecopy"/>
              <w:jc w:val="left"/>
              <w:rPr>
                <w:noProof w:val="0"/>
              </w:rPr>
            </w:pPr>
          </w:p>
        </w:tc>
        <w:tc>
          <w:tcPr>
            <w:tcW w:w="0" w:type="auto"/>
            <w:vAlign w:val="center"/>
          </w:tcPr>
          <w:p w14:paraId="38E0B7FE" w14:textId="77777777" w:rsidR="000675F2" w:rsidRPr="00FA0112" w:rsidRDefault="000675F2" w:rsidP="00257D51">
            <w:pPr>
              <w:pStyle w:val="tablecopy"/>
              <w:jc w:val="left"/>
              <w:rPr>
                <w:noProof w:val="0"/>
              </w:rPr>
            </w:pPr>
            <w:r w:rsidRPr="00FA0112">
              <w:rPr>
                <w:color w:val="000000"/>
              </w:rPr>
              <w:t>GLSZM</w:t>
            </w:r>
          </w:p>
        </w:tc>
        <w:tc>
          <w:tcPr>
            <w:tcW w:w="0" w:type="auto"/>
            <w:vAlign w:val="center"/>
          </w:tcPr>
          <w:p w14:paraId="1FFF65A4" w14:textId="77777777" w:rsidR="000675F2" w:rsidRPr="00FA0112" w:rsidRDefault="000675F2" w:rsidP="00257D51">
            <w:pPr>
              <w:pStyle w:val="tablecopy"/>
              <w:jc w:val="center"/>
              <w:rPr>
                <w:noProof w:val="0"/>
              </w:rPr>
            </w:pPr>
            <w:r>
              <w:rPr>
                <w:color w:val="000000"/>
              </w:rPr>
              <w:t>0.342</w:t>
            </w:r>
          </w:p>
        </w:tc>
        <w:tc>
          <w:tcPr>
            <w:tcW w:w="0" w:type="auto"/>
            <w:vAlign w:val="center"/>
          </w:tcPr>
          <w:p w14:paraId="23EAFA4E" w14:textId="77777777" w:rsidR="000675F2" w:rsidRPr="00FA0112" w:rsidRDefault="000675F2" w:rsidP="00257D51">
            <w:pPr>
              <w:pStyle w:val="tablecopy"/>
              <w:jc w:val="center"/>
              <w:rPr>
                <w:noProof w:val="0"/>
              </w:rPr>
            </w:pPr>
            <w:r>
              <w:rPr>
                <w:color w:val="000000"/>
              </w:rPr>
              <w:t>0.332</w:t>
            </w:r>
          </w:p>
        </w:tc>
      </w:tr>
      <w:tr w:rsidR="007112E6" w:rsidRPr="005A1397" w14:paraId="0B052640" w14:textId="77777777" w:rsidTr="00257D51">
        <w:trPr>
          <w:trHeight w:val="320"/>
          <w:jc w:val="center"/>
        </w:trPr>
        <w:tc>
          <w:tcPr>
            <w:tcW w:w="0" w:type="auto"/>
            <w:vMerge/>
          </w:tcPr>
          <w:p w14:paraId="47260E96" w14:textId="77777777" w:rsidR="000675F2" w:rsidRPr="005A1397" w:rsidRDefault="000675F2" w:rsidP="00257D51">
            <w:pPr>
              <w:pStyle w:val="tablecopy"/>
              <w:jc w:val="left"/>
              <w:rPr>
                <w:noProof w:val="0"/>
              </w:rPr>
            </w:pPr>
          </w:p>
        </w:tc>
        <w:tc>
          <w:tcPr>
            <w:tcW w:w="0" w:type="auto"/>
            <w:vAlign w:val="center"/>
          </w:tcPr>
          <w:p w14:paraId="1A0A69F6" w14:textId="77777777" w:rsidR="000675F2" w:rsidRPr="00FA0112" w:rsidRDefault="000675F2" w:rsidP="00257D51">
            <w:pPr>
              <w:pStyle w:val="tablecopy"/>
              <w:jc w:val="left"/>
              <w:rPr>
                <w:noProof w:val="0"/>
              </w:rPr>
            </w:pPr>
            <w:r w:rsidRPr="00FA0112">
              <w:rPr>
                <w:color w:val="000000"/>
              </w:rPr>
              <w:t>GLDM</w:t>
            </w:r>
          </w:p>
        </w:tc>
        <w:tc>
          <w:tcPr>
            <w:tcW w:w="0" w:type="auto"/>
            <w:vAlign w:val="center"/>
          </w:tcPr>
          <w:p w14:paraId="1C8FB133" w14:textId="77777777" w:rsidR="000675F2" w:rsidRPr="00FA0112" w:rsidRDefault="000675F2" w:rsidP="00257D51">
            <w:pPr>
              <w:pStyle w:val="tablecopy"/>
              <w:jc w:val="center"/>
              <w:rPr>
                <w:noProof w:val="0"/>
              </w:rPr>
            </w:pPr>
            <w:r>
              <w:rPr>
                <w:color w:val="000000"/>
              </w:rPr>
              <w:t>0.355</w:t>
            </w:r>
          </w:p>
        </w:tc>
        <w:tc>
          <w:tcPr>
            <w:tcW w:w="0" w:type="auto"/>
            <w:vAlign w:val="center"/>
          </w:tcPr>
          <w:p w14:paraId="4F8DB928" w14:textId="77777777" w:rsidR="000675F2" w:rsidRPr="00FA0112" w:rsidRDefault="000675F2" w:rsidP="00257D51">
            <w:pPr>
              <w:pStyle w:val="tablecopy"/>
              <w:jc w:val="center"/>
              <w:rPr>
                <w:noProof w:val="0"/>
              </w:rPr>
            </w:pPr>
            <w:r>
              <w:rPr>
                <w:color w:val="000000"/>
              </w:rPr>
              <w:t>0.337</w:t>
            </w:r>
          </w:p>
        </w:tc>
      </w:tr>
      <w:tr w:rsidR="007112E6" w:rsidRPr="005A1397" w14:paraId="610BDEE4" w14:textId="77777777" w:rsidTr="00257D51">
        <w:trPr>
          <w:trHeight w:val="320"/>
          <w:jc w:val="center"/>
        </w:trPr>
        <w:tc>
          <w:tcPr>
            <w:tcW w:w="0" w:type="auto"/>
            <w:vMerge/>
          </w:tcPr>
          <w:p w14:paraId="5F991C3F" w14:textId="77777777" w:rsidR="000675F2" w:rsidRPr="005A1397" w:rsidRDefault="000675F2" w:rsidP="00257D51">
            <w:pPr>
              <w:pStyle w:val="tablecopy"/>
              <w:jc w:val="left"/>
              <w:rPr>
                <w:noProof w:val="0"/>
              </w:rPr>
            </w:pPr>
          </w:p>
        </w:tc>
        <w:tc>
          <w:tcPr>
            <w:tcW w:w="0" w:type="auto"/>
            <w:vAlign w:val="center"/>
          </w:tcPr>
          <w:p w14:paraId="0FDD832B" w14:textId="77777777" w:rsidR="000675F2" w:rsidRPr="00FA0112" w:rsidRDefault="000675F2" w:rsidP="00257D51">
            <w:pPr>
              <w:pStyle w:val="tablecopy"/>
              <w:jc w:val="left"/>
              <w:rPr>
                <w:noProof w:val="0"/>
              </w:rPr>
            </w:pPr>
            <w:r w:rsidRPr="00FA0112">
              <w:rPr>
                <w:color w:val="000000"/>
              </w:rPr>
              <w:t xml:space="preserve">NGTDM </w:t>
            </w:r>
          </w:p>
        </w:tc>
        <w:tc>
          <w:tcPr>
            <w:tcW w:w="0" w:type="auto"/>
            <w:shd w:val="clear" w:color="auto" w:fill="92D050"/>
            <w:vAlign w:val="center"/>
          </w:tcPr>
          <w:p w14:paraId="3FFDB9C6" w14:textId="77777777" w:rsidR="000675F2" w:rsidRPr="00FA0112" w:rsidRDefault="000675F2" w:rsidP="00257D51">
            <w:pPr>
              <w:pStyle w:val="tablecopy"/>
              <w:jc w:val="center"/>
              <w:rPr>
                <w:noProof w:val="0"/>
              </w:rPr>
            </w:pPr>
            <w:r>
              <w:rPr>
                <w:color w:val="000000"/>
              </w:rPr>
              <w:t>0.630</w:t>
            </w:r>
          </w:p>
        </w:tc>
        <w:tc>
          <w:tcPr>
            <w:tcW w:w="0" w:type="auto"/>
            <w:vAlign w:val="center"/>
          </w:tcPr>
          <w:p w14:paraId="03CCC0C4" w14:textId="77777777" w:rsidR="000675F2" w:rsidRPr="00FA0112" w:rsidRDefault="000675F2" w:rsidP="00257D51">
            <w:pPr>
              <w:pStyle w:val="tablecopy"/>
              <w:jc w:val="center"/>
              <w:rPr>
                <w:noProof w:val="0"/>
              </w:rPr>
            </w:pPr>
            <w:r>
              <w:rPr>
                <w:color w:val="000000"/>
              </w:rPr>
              <w:t>0.336</w:t>
            </w:r>
          </w:p>
        </w:tc>
      </w:tr>
      <w:tr w:rsidR="007112E6" w:rsidRPr="005A1397" w14:paraId="5D6661D7" w14:textId="77777777" w:rsidTr="00257D51">
        <w:trPr>
          <w:trHeight w:val="320"/>
          <w:jc w:val="center"/>
        </w:trPr>
        <w:tc>
          <w:tcPr>
            <w:tcW w:w="0" w:type="auto"/>
            <w:vMerge w:val="restart"/>
          </w:tcPr>
          <w:p w14:paraId="1F72B9CE" w14:textId="62BFF210" w:rsidR="000675F2" w:rsidRPr="005A1397" w:rsidRDefault="007112E6" w:rsidP="00257D51">
            <w:pPr>
              <w:pStyle w:val="tablecopy"/>
              <w:jc w:val="left"/>
              <w:rPr>
                <w:noProof w:val="0"/>
              </w:rPr>
            </w:pPr>
            <w:r>
              <w:rPr>
                <w:noProof w:val="0"/>
              </w:rPr>
              <w:t xml:space="preserve">Noise additional with </w:t>
            </w:r>
            <w:r w:rsidR="000675F2">
              <w:rPr>
                <w:noProof w:val="0"/>
              </w:rPr>
              <w:t>SNR 50%</w:t>
            </w:r>
          </w:p>
        </w:tc>
        <w:tc>
          <w:tcPr>
            <w:tcW w:w="0" w:type="auto"/>
            <w:vAlign w:val="center"/>
          </w:tcPr>
          <w:p w14:paraId="0F4ED9AC" w14:textId="77777777" w:rsidR="000675F2" w:rsidRPr="00FA0112" w:rsidRDefault="000675F2" w:rsidP="00257D51">
            <w:pPr>
              <w:pStyle w:val="tablecopy"/>
              <w:jc w:val="left"/>
              <w:rPr>
                <w:noProof w:val="0"/>
              </w:rPr>
            </w:pPr>
            <w:r w:rsidRPr="00FA0112">
              <w:rPr>
                <w:color w:val="000000"/>
              </w:rPr>
              <w:t>firstorder</w:t>
            </w:r>
          </w:p>
        </w:tc>
        <w:tc>
          <w:tcPr>
            <w:tcW w:w="0" w:type="auto"/>
            <w:vAlign w:val="center"/>
          </w:tcPr>
          <w:p w14:paraId="5F015A0C" w14:textId="77777777" w:rsidR="000675F2" w:rsidRPr="00FA0112" w:rsidRDefault="000675F2" w:rsidP="00257D51">
            <w:pPr>
              <w:pStyle w:val="tablecopy"/>
              <w:jc w:val="center"/>
              <w:rPr>
                <w:noProof w:val="0"/>
              </w:rPr>
            </w:pPr>
            <w:r>
              <w:rPr>
                <w:color w:val="000000"/>
              </w:rPr>
              <w:t>0.351</w:t>
            </w:r>
          </w:p>
        </w:tc>
        <w:tc>
          <w:tcPr>
            <w:tcW w:w="0" w:type="auto"/>
            <w:vAlign w:val="center"/>
          </w:tcPr>
          <w:p w14:paraId="51E871E6" w14:textId="77777777" w:rsidR="000675F2" w:rsidRPr="00FA0112" w:rsidRDefault="000675F2" w:rsidP="00257D51">
            <w:pPr>
              <w:pStyle w:val="tablecopy"/>
              <w:jc w:val="center"/>
              <w:rPr>
                <w:noProof w:val="0"/>
              </w:rPr>
            </w:pPr>
            <w:r>
              <w:rPr>
                <w:color w:val="000000"/>
              </w:rPr>
              <w:t>0.341</w:t>
            </w:r>
          </w:p>
        </w:tc>
      </w:tr>
      <w:tr w:rsidR="007112E6" w:rsidRPr="005A1397" w14:paraId="527F49F2" w14:textId="77777777" w:rsidTr="00257D51">
        <w:trPr>
          <w:trHeight w:val="320"/>
          <w:jc w:val="center"/>
        </w:trPr>
        <w:tc>
          <w:tcPr>
            <w:tcW w:w="0" w:type="auto"/>
            <w:vMerge/>
          </w:tcPr>
          <w:p w14:paraId="3BC4546A" w14:textId="77777777" w:rsidR="000675F2" w:rsidRPr="005A1397" w:rsidRDefault="000675F2" w:rsidP="00257D51">
            <w:pPr>
              <w:pStyle w:val="tablecopy"/>
              <w:jc w:val="left"/>
              <w:rPr>
                <w:noProof w:val="0"/>
              </w:rPr>
            </w:pPr>
          </w:p>
        </w:tc>
        <w:tc>
          <w:tcPr>
            <w:tcW w:w="0" w:type="auto"/>
            <w:vAlign w:val="center"/>
          </w:tcPr>
          <w:p w14:paraId="75E74224" w14:textId="77777777" w:rsidR="000675F2" w:rsidRPr="00FA0112" w:rsidRDefault="000675F2" w:rsidP="00257D51">
            <w:pPr>
              <w:pStyle w:val="tablecopy"/>
              <w:jc w:val="left"/>
              <w:rPr>
                <w:noProof w:val="0"/>
              </w:rPr>
            </w:pPr>
            <w:r w:rsidRPr="00FA0112">
              <w:rPr>
                <w:color w:val="000000"/>
              </w:rPr>
              <w:t>GLCM</w:t>
            </w:r>
          </w:p>
        </w:tc>
        <w:tc>
          <w:tcPr>
            <w:tcW w:w="0" w:type="auto"/>
            <w:vAlign w:val="center"/>
          </w:tcPr>
          <w:p w14:paraId="43E164E6" w14:textId="77777777" w:rsidR="000675F2" w:rsidRPr="00FA0112" w:rsidRDefault="000675F2" w:rsidP="00257D51">
            <w:pPr>
              <w:pStyle w:val="tablecopy"/>
              <w:jc w:val="center"/>
              <w:rPr>
                <w:noProof w:val="0"/>
              </w:rPr>
            </w:pPr>
            <w:r>
              <w:rPr>
                <w:color w:val="000000"/>
              </w:rPr>
              <w:t>0.457</w:t>
            </w:r>
          </w:p>
        </w:tc>
        <w:tc>
          <w:tcPr>
            <w:tcW w:w="0" w:type="auto"/>
            <w:vAlign w:val="center"/>
          </w:tcPr>
          <w:p w14:paraId="38E8B547" w14:textId="77777777" w:rsidR="000675F2" w:rsidRPr="00FA0112" w:rsidRDefault="000675F2" w:rsidP="00257D51">
            <w:pPr>
              <w:pStyle w:val="tablecopy"/>
              <w:jc w:val="center"/>
              <w:rPr>
                <w:noProof w:val="0"/>
              </w:rPr>
            </w:pPr>
            <w:r>
              <w:rPr>
                <w:color w:val="000000"/>
              </w:rPr>
              <w:t>0.213</w:t>
            </w:r>
          </w:p>
        </w:tc>
      </w:tr>
      <w:tr w:rsidR="007112E6" w:rsidRPr="005A1397" w14:paraId="17983FBA" w14:textId="77777777" w:rsidTr="00257D51">
        <w:trPr>
          <w:trHeight w:val="320"/>
          <w:jc w:val="center"/>
        </w:trPr>
        <w:tc>
          <w:tcPr>
            <w:tcW w:w="0" w:type="auto"/>
            <w:vMerge/>
          </w:tcPr>
          <w:p w14:paraId="7844AAFE" w14:textId="77777777" w:rsidR="000675F2" w:rsidRPr="005A1397" w:rsidRDefault="000675F2" w:rsidP="00257D51">
            <w:pPr>
              <w:pStyle w:val="tablecopy"/>
              <w:jc w:val="left"/>
              <w:rPr>
                <w:noProof w:val="0"/>
              </w:rPr>
            </w:pPr>
          </w:p>
        </w:tc>
        <w:tc>
          <w:tcPr>
            <w:tcW w:w="0" w:type="auto"/>
            <w:vAlign w:val="center"/>
          </w:tcPr>
          <w:p w14:paraId="7D60C98E" w14:textId="77777777" w:rsidR="000675F2" w:rsidRPr="00FA0112" w:rsidRDefault="000675F2" w:rsidP="00257D51">
            <w:pPr>
              <w:pStyle w:val="tablecopy"/>
              <w:jc w:val="left"/>
              <w:rPr>
                <w:noProof w:val="0"/>
              </w:rPr>
            </w:pPr>
            <w:r w:rsidRPr="00FA0112">
              <w:rPr>
                <w:color w:val="000000"/>
              </w:rPr>
              <w:t>GLRLM</w:t>
            </w:r>
          </w:p>
        </w:tc>
        <w:tc>
          <w:tcPr>
            <w:tcW w:w="0" w:type="auto"/>
            <w:vAlign w:val="center"/>
          </w:tcPr>
          <w:p w14:paraId="05215363" w14:textId="77777777" w:rsidR="000675F2" w:rsidRPr="00FA0112" w:rsidRDefault="000675F2" w:rsidP="00257D51">
            <w:pPr>
              <w:pStyle w:val="tablecopy"/>
              <w:jc w:val="center"/>
              <w:rPr>
                <w:noProof w:val="0"/>
              </w:rPr>
            </w:pPr>
            <w:r>
              <w:rPr>
                <w:color w:val="000000"/>
              </w:rPr>
              <w:t>0.355</w:t>
            </w:r>
          </w:p>
        </w:tc>
        <w:tc>
          <w:tcPr>
            <w:tcW w:w="0" w:type="auto"/>
            <w:vAlign w:val="center"/>
          </w:tcPr>
          <w:p w14:paraId="6A88A7BF" w14:textId="77777777" w:rsidR="000675F2" w:rsidRPr="00FA0112" w:rsidRDefault="000675F2" w:rsidP="00257D51">
            <w:pPr>
              <w:pStyle w:val="tablecopy"/>
              <w:jc w:val="center"/>
              <w:rPr>
                <w:noProof w:val="0"/>
              </w:rPr>
            </w:pPr>
            <w:r>
              <w:rPr>
                <w:color w:val="000000"/>
              </w:rPr>
              <w:t>0.340</w:t>
            </w:r>
          </w:p>
        </w:tc>
      </w:tr>
      <w:tr w:rsidR="007112E6" w:rsidRPr="005A1397" w14:paraId="13D8E150" w14:textId="77777777" w:rsidTr="00257D51">
        <w:trPr>
          <w:trHeight w:val="320"/>
          <w:jc w:val="center"/>
        </w:trPr>
        <w:tc>
          <w:tcPr>
            <w:tcW w:w="0" w:type="auto"/>
            <w:vMerge/>
          </w:tcPr>
          <w:p w14:paraId="46D18748" w14:textId="77777777" w:rsidR="000675F2" w:rsidRPr="005A1397" w:rsidRDefault="000675F2" w:rsidP="00257D51">
            <w:pPr>
              <w:pStyle w:val="tablecopy"/>
              <w:jc w:val="left"/>
              <w:rPr>
                <w:noProof w:val="0"/>
              </w:rPr>
            </w:pPr>
          </w:p>
        </w:tc>
        <w:tc>
          <w:tcPr>
            <w:tcW w:w="0" w:type="auto"/>
            <w:vAlign w:val="center"/>
          </w:tcPr>
          <w:p w14:paraId="6F3F9E49" w14:textId="77777777" w:rsidR="000675F2" w:rsidRPr="00FA0112" w:rsidRDefault="000675F2" w:rsidP="00257D51">
            <w:pPr>
              <w:pStyle w:val="tablecopy"/>
              <w:jc w:val="left"/>
              <w:rPr>
                <w:noProof w:val="0"/>
              </w:rPr>
            </w:pPr>
            <w:r w:rsidRPr="00FA0112">
              <w:rPr>
                <w:color w:val="000000"/>
              </w:rPr>
              <w:t>GLSZM</w:t>
            </w:r>
          </w:p>
        </w:tc>
        <w:tc>
          <w:tcPr>
            <w:tcW w:w="0" w:type="auto"/>
            <w:vAlign w:val="center"/>
          </w:tcPr>
          <w:p w14:paraId="76A83B25" w14:textId="77777777" w:rsidR="000675F2" w:rsidRPr="00FA0112" w:rsidRDefault="000675F2" w:rsidP="00257D51">
            <w:pPr>
              <w:pStyle w:val="tablecopy"/>
              <w:jc w:val="center"/>
              <w:rPr>
                <w:noProof w:val="0"/>
              </w:rPr>
            </w:pPr>
            <w:r>
              <w:rPr>
                <w:color w:val="000000"/>
              </w:rPr>
              <w:t>0.341</w:t>
            </w:r>
          </w:p>
        </w:tc>
        <w:tc>
          <w:tcPr>
            <w:tcW w:w="0" w:type="auto"/>
            <w:vAlign w:val="center"/>
          </w:tcPr>
          <w:p w14:paraId="2EF1F88C" w14:textId="77777777" w:rsidR="000675F2" w:rsidRPr="00FA0112" w:rsidRDefault="000675F2" w:rsidP="00257D51">
            <w:pPr>
              <w:pStyle w:val="tablecopy"/>
              <w:jc w:val="center"/>
              <w:rPr>
                <w:noProof w:val="0"/>
              </w:rPr>
            </w:pPr>
            <w:r>
              <w:rPr>
                <w:color w:val="000000"/>
              </w:rPr>
              <w:t>0.327</w:t>
            </w:r>
          </w:p>
        </w:tc>
      </w:tr>
      <w:tr w:rsidR="007112E6" w:rsidRPr="005A1397" w14:paraId="6667493C" w14:textId="77777777" w:rsidTr="00257D51">
        <w:trPr>
          <w:trHeight w:val="320"/>
          <w:jc w:val="center"/>
        </w:trPr>
        <w:tc>
          <w:tcPr>
            <w:tcW w:w="0" w:type="auto"/>
            <w:vMerge/>
          </w:tcPr>
          <w:p w14:paraId="0248745C" w14:textId="77777777" w:rsidR="000675F2" w:rsidRPr="005A1397" w:rsidRDefault="000675F2" w:rsidP="00257D51">
            <w:pPr>
              <w:pStyle w:val="tablecopy"/>
              <w:jc w:val="left"/>
              <w:rPr>
                <w:noProof w:val="0"/>
              </w:rPr>
            </w:pPr>
          </w:p>
        </w:tc>
        <w:tc>
          <w:tcPr>
            <w:tcW w:w="0" w:type="auto"/>
            <w:vAlign w:val="center"/>
          </w:tcPr>
          <w:p w14:paraId="30A4AD0A" w14:textId="77777777" w:rsidR="000675F2" w:rsidRPr="00FA0112" w:rsidRDefault="000675F2" w:rsidP="00257D51">
            <w:pPr>
              <w:pStyle w:val="tablecopy"/>
              <w:jc w:val="left"/>
              <w:rPr>
                <w:noProof w:val="0"/>
              </w:rPr>
            </w:pPr>
            <w:r w:rsidRPr="00FA0112">
              <w:rPr>
                <w:color w:val="000000"/>
              </w:rPr>
              <w:t>GLDM</w:t>
            </w:r>
          </w:p>
        </w:tc>
        <w:tc>
          <w:tcPr>
            <w:tcW w:w="0" w:type="auto"/>
            <w:vAlign w:val="center"/>
          </w:tcPr>
          <w:p w14:paraId="388F1447" w14:textId="77777777" w:rsidR="000675F2" w:rsidRPr="00FA0112" w:rsidRDefault="000675F2" w:rsidP="00257D51">
            <w:pPr>
              <w:pStyle w:val="tablecopy"/>
              <w:jc w:val="center"/>
              <w:rPr>
                <w:noProof w:val="0"/>
              </w:rPr>
            </w:pPr>
            <w:r>
              <w:rPr>
                <w:color w:val="000000"/>
              </w:rPr>
              <w:t>0.360</w:t>
            </w:r>
          </w:p>
        </w:tc>
        <w:tc>
          <w:tcPr>
            <w:tcW w:w="0" w:type="auto"/>
            <w:vAlign w:val="center"/>
          </w:tcPr>
          <w:p w14:paraId="6409C8C0" w14:textId="77777777" w:rsidR="000675F2" w:rsidRPr="00FA0112" w:rsidRDefault="000675F2" w:rsidP="00257D51">
            <w:pPr>
              <w:pStyle w:val="tablecopy"/>
              <w:jc w:val="center"/>
              <w:rPr>
                <w:noProof w:val="0"/>
              </w:rPr>
            </w:pPr>
            <w:r>
              <w:rPr>
                <w:color w:val="000000"/>
              </w:rPr>
              <w:t>0.337</w:t>
            </w:r>
          </w:p>
        </w:tc>
      </w:tr>
      <w:tr w:rsidR="007112E6" w:rsidRPr="005A1397" w14:paraId="3BF7DFBD" w14:textId="77777777" w:rsidTr="00257D51">
        <w:trPr>
          <w:trHeight w:val="320"/>
          <w:jc w:val="center"/>
        </w:trPr>
        <w:tc>
          <w:tcPr>
            <w:tcW w:w="0" w:type="auto"/>
            <w:vMerge/>
          </w:tcPr>
          <w:p w14:paraId="23717AAF" w14:textId="77777777" w:rsidR="000675F2" w:rsidRPr="005A1397" w:rsidRDefault="000675F2" w:rsidP="00257D51">
            <w:pPr>
              <w:pStyle w:val="tablecopy"/>
              <w:jc w:val="left"/>
              <w:rPr>
                <w:noProof w:val="0"/>
              </w:rPr>
            </w:pPr>
          </w:p>
        </w:tc>
        <w:tc>
          <w:tcPr>
            <w:tcW w:w="0" w:type="auto"/>
            <w:vAlign w:val="center"/>
          </w:tcPr>
          <w:p w14:paraId="537C5707" w14:textId="77777777" w:rsidR="000675F2" w:rsidRPr="00FA0112" w:rsidRDefault="000675F2" w:rsidP="00257D51">
            <w:pPr>
              <w:pStyle w:val="tablecopy"/>
              <w:jc w:val="left"/>
              <w:rPr>
                <w:noProof w:val="0"/>
              </w:rPr>
            </w:pPr>
            <w:r w:rsidRPr="00FA0112">
              <w:rPr>
                <w:color w:val="000000"/>
              </w:rPr>
              <w:t xml:space="preserve">NGTDM </w:t>
            </w:r>
          </w:p>
        </w:tc>
        <w:tc>
          <w:tcPr>
            <w:tcW w:w="0" w:type="auto"/>
            <w:vAlign w:val="center"/>
          </w:tcPr>
          <w:p w14:paraId="64237E02" w14:textId="77777777" w:rsidR="000675F2" w:rsidRPr="00FA0112" w:rsidRDefault="000675F2" w:rsidP="00257D51">
            <w:pPr>
              <w:pStyle w:val="tablecopy"/>
              <w:jc w:val="center"/>
              <w:rPr>
                <w:noProof w:val="0"/>
              </w:rPr>
            </w:pPr>
            <w:r>
              <w:rPr>
                <w:color w:val="000000"/>
              </w:rPr>
              <w:t>0.020</w:t>
            </w:r>
          </w:p>
        </w:tc>
        <w:tc>
          <w:tcPr>
            <w:tcW w:w="0" w:type="auto"/>
            <w:vAlign w:val="center"/>
          </w:tcPr>
          <w:p w14:paraId="40A60418" w14:textId="77777777" w:rsidR="000675F2" w:rsidRPr="00FA0112" w:rsidRDefault="000675F2" w:rsidP="00257D51">
            <w:pPr>
              <w:pStyle w:val="tablecopy"/>
              <w:jc w:val="center"/>
              <w:rPr>
                <w:noProof w:val="0"/>
              </w:rPr>
            </w:pPr>
            <w:r>
              <w:rPr>
                <w:color w:val="000000"/>
              </w:rPr>
              <w:t>0.379</w:t>
            </w:r>
          </w:p>
        </w:tc>
      </w:tr>
      <w:tr w:rsidR="007112E6" w:rsidRPr="005A1397" w14:paraId="3705A2E8" w14:textId="77777777" w:rsidTr="00257D51">
        <w:trPr>
          <w:trHeight w:val="320"/>
          <w:jc w:val="center"/>
        </w:trPr>
        <w:tc>
          <w:tcPr>
            <w:tcW w:w="0" w:type="auto"/>
            <w:vMerge w:val="restart"/>
          </w:tcPr>
          <w:p w14:paraId="2F4F3964" w14:textId="02FDB417" w:rsidR="000675F2" w:rsidRPr="005A1397" w:rsidRDefault="007112E6" w:rsidP="00257D51">
            <w:pPr>
              <w:pStyle w:val="tablecopy"/>
              <w:jc w:val="left"/>
              <w:rPr>
                <w:noProof w:val="0"/>
              </w:rPr>
            </w:pPr>
            <w:r>
              <w:rPr>
                <w:noProof w:val="0"/>
              </w:rPr>
              <w:t xml:space="preserve">Noise additional with </w:t>
            </w:r>
            <w:r w:rsidR="000675F2">
              <w:rPr>
                <w:noProof w:val="0"/>
              </w:rPr>
              <w:t>SNR 80%</w:t>
            </w:r>
          </w:p>
        </w:tc>
        <w:tc>
          <w:tcPr>
            <w:tcW w:w="0" w:type="auto"/>
            <w:vAlign w:val="center"/>
          </w:tcPr>
          <w:p w14:paraId="0D59821B" w14:textId="77777777" w:rsidR="000675F2" w:rsidRPr="00FA0112" w:rsidRDefault="000675F2" w:rsidP="00257D51">
            <w:pPr>
              <w:pStyle w:val="tablecopy"/>
              <w:jc w:val="left"/>
              <w:rPr>
                <w:noProof w:val="0"/>
              </w:rPr>
            </w:pPr>
            <w:r w:rsidRPr="00FA0112">
              <w:rPr>
                <w:color w:val="000000"/>
              </w:rPr>
              <w:t>firstorder</w:t>
            </w:r>
          </w:p>
        </w:tc>
        <w:tc>
          <w:tcPr>
            <w:tcW w:w="0" w:type="auto"/>
            <w:vAlign w:val="center"/>
          </w:tcPr>
          <w:p w14:paraId="3DE0F1F1" w14:textId="77777777" w:rsidR="000675F2" w:rsidRPr="00FA0112" w:rsidRDefault="000675F2" w:rsidP="00257D51">
            <w:pPr>
              <w:pStyle w:val="tablecopy"/>
              <w:jc w:val="center"/>
              <w:rPr>
                <w:noProof w:val="0"/>
              </w:rPr>
            </w:pPr>
            <w:r>
              <w:rPr>
                <w:color w:val="000000"/>
              </w:rPr>
              <w:t>0.351</w:t>
            </w:r>
          </w:p>
        </w:tc>
        <w:tc>
          <w:tcPr>
            <w:tcW w:w="0" w:type="auto"/>
            <w:vAlign w:val="center"/>
          </w:tcPr>
          <w:p w14:paraId="79AE83DD" w14:textId="77777777" w:rsidR="000675F2" w:rsidRPr="00FA0112" w:rsidRDefault="000675F2" w:rsidP="00257D51">
            <w:pPr>
              <w:pStyle w:val="tablecopy"/>
              <w:jc w:val="center"/>
              <w:rPr>
                <w:noProof w:val="0"/>
              </w:rPr>
            </w:pPr>
            <w:r>
              <w:rPr>
                <w:color w:val="000000"/>
              </w:rPr>
              <w:t>0.341</w:t>
            </w:r>
          </w:p>
        </w:tc>
      </w:tr>
      <w:tr w:rsidR="007112E6" w:rsidRPr="005A1397" w14:paraId="56FFA014" w14:textId="77777777" w:rsidTr="00257D51">
        <w:trPr>
          <w:trHeight w:val="320"/>
          <w:jc w:val="center"/>
        </w:trPr>
        <w:tc>
          <w:tcPr>
            <w:tcW w:w="0" w:type="auto"/>
            <w:vMerge/>
          </w:tcPr>
          <w:p w14:paraId="6E476E3A" w14:textId="77777777" w:rsidR="000675F2" w:rsidRPr="005A1397" w:rsidRDefault="000675F2" w:rsidP="00257D51">
            <w:pPr>
              <w:pStyle w:val="tablecopy"/>
              <w:jc w:val="left"/>
              <w:rPr>
                <w:noProof w:val="0"/>
              </w:rPr>
            </w:pPr>
          </w:p>
        </w:tc>
        <w:tc>
          <w:tcPr>
            <w:tcW w:w="0" w:type="auto"/>
            <w:vAlign w:val="center"/>
          </w:tcPr>
          <w:p w14:paraId="455CA001" w14:textId="77777777" w:rsidR="000675F2" w:rsidRPr="00FA0112" w:rsidRDefault="000675F2" w:rsidP="00257D51">
            <w:pPr>
              <w:pStyle w:val="tablecopy"/>
              <w:jc w:val="left"/>
              <w:rPr>
                <w:noProof w:val="0"/>
              </w:rPr>
            </w:pPr>
            <w:r w:rsidRPr="00FA0112">
              <w:rPr>
                <w:color w:val="000000"/>
              </w:rPr>
              <w:t>GLCM</w:t>
            </w:r>
          </w:p>
        </w:tc>
        <w:tc>
          <w:tcPr>
            <w:tcW w:w="0" w:type="auto"/>
            <w:vAlign w:val="center"/>
          </w:tcPr>
          <w:p w14:paraId="0D7326CD" w14:textId="77777777" w:rsidR="000675F2" w:rsidRPr="00FA0112" w:rsidRDefault="000675F2" w:rsidP="00257D51">
            <w:pPr>
              <w:pStyle w:val="tablecopy"/>
              <w:jc w:val="center"/>
              <w:rPr>
                <w:noProof w:val="0"/>
              </w:rPr>
            </w:pPr>
            <w:r>
              <w:rPr>
                <w:color w:val="000000"/>
              </w:rPr>
              <w:t>0.353</w:t>
            </w:r>
          </w:p>
        </w:tc>
        <w:tc>
          <w:tcPr>
            <w:tcW w:w="0" w:type="auto"/>
            <w:vAlign w:val="center"/>
          </w:tcPr>
          <w:p w14:paraId="15A4312F" w14:textId="77777777" w:rsidR="000675F2" w:rsidRPr="00FA0112" w:rsidRDefault="000675F2" w:rsidP="00257D51">
            <w:pPr>
              <w:pStyle w:val="tablecopy"/>
              <w:jc w:val="center"/>
              <w:rPr>
                <w:noProof w:val="0"/>
              </w:rPr>
            </w:pPr>
            <w:r>
              <w:rPr>
                <w:color w:val="000000"/>
              </w:rPr>
              <w:t>0.211</w:t>
            </w:r>
          </w:p>
        </w:tc>
      </w:tr>
      <w:tr w:rsidR="007112E6" w:rsidRPr="005A1397" w14:paraId="36B54EE8" w14:textId="77777777" w:rsidTr="00257D51">
        <w:trPr>
          <w:trHeight w:val="320"/>
          <w:jc w:val="center"/>
        </w:trPr>
        <w:tc>
          <w:tcPr>
            <w:tcW w:w="0" w:type="auto"/>
            <w:vMerge/>
          </w:tcPr>
          <w:p w14:paraId="27AD0E76" w14:textId="77777777" w:rsidR="000675F2" w:rsidRPr="005A1397" w:rsidRDefault="000675F2" w:rsidP="00257D51">
            <w:pPr>
              <w:pStyle w:val="tablecopy"/>
              <w:jc w:val="left"/>
              <w:rPr>
                <w:noProof w:val="0"/>
              </w:rPr>
            </w:pPr>
          </w:p>
        </w:tc>
        <w:tc>
          <w:tcPr>
            <w:tcW w:w="0" w:type="auto"/>
            <w:vAlign w:val="center"/>
          </w:tcPr>
          <w:p w14:paraId="35108DA0" w14:textId="77777777" w:rsidR="000675F2" w:rsidRPr="00FA0112" w:rsidRDefault="000675F2" w:rsidP="00257D51">
            <w:pPr>
              <w:pStyle w:val="tablecopy"/>
              <w:jc w:val="left"/>
              <w:rPr>
                <w:noProof w:val="0"/>
              </w:rPr>
            </w:pPr>
            <w:r w:rsidRPr="00FA0112">
              <w:rPr>
                <w:color w:val="000000"/>
              </w:rPr>
              <w:t>GLRLM</w:t>
            </w:r>
          </w:p>
        </w:tc>
        <w:tc>
          <w:tcPr>
            <w:tcW w:w="0" w:type="auto"/>
            <w:vAlign w:val="center"/>
          </w:tcPr>
          <w:p w14:paraId="5715F4E9" w14:textId="77777777" w:rsidR="000675F2" w:rsidRPr="00FA0112" w:rsidRDefault="000675F2" w:rsidP="00257D51">
            <w:pPr>
              <w:pStyle w:val="tablecopy"/>
              <w:jc w:val="center"/>
              <w:rPr>
                <w:noProof w:val="0"/>
              </w:rPr>
            </w:pPr>
            <w:r>
              <w:rPr>
                <w:color w:val="000000"/>
              </w:rPr>
              <w:t>0.357</w:t>
            </w:r>
          </w:p>
        </w:tc>
        <w:tc>
          <w:tcPr>
            <w:tcW w:w="0" w:type="auto"/>
            <w:vAlign w:val="center"/>
          </w:tcPr>
          <w:p w14:paraId="00617AEC" w14:textId="77777777" w:rsidR="000675F2" w:rsidRPr="00FA0112" w:rsidRDefault="000675F2" w:rsidP="00257D51">
            <w:pPr>
              <w:pStyle w:val="tablecopy"/>
              <w:jc w:val="center"/>
              <w:rPr>
                <w:noProof w:val="0"/>
              </w:rPr>
            </w:pPr>
            <w:r>
              <w:rPr>
                <w:color w:val="000000"/>
              </w:rPr>
              <w:t>0.340</w:t>
            </w:r>
          </w:p>
        </w:tc>
      </w:tr>
      <w:tr w:rsidR="007112E6" w:rsidRPr="005A1397" w14:paraId="31D3C949" w14:textId="77777777" w:rsidTr="00257D51">
        <w:trPr>
          <w:trHeight w:val="320"/>
          <w:jc w:val="center"/>
        </w:trPr>
        <w:tc>
          <w:tcPr>
            <w:tcW w:w="0" w:type="auto"/>
            <w:vMerge/>
          </w:tcPr>
          <w:p w14:paraId="64A0E356" w14:textId="77777777" w:rsidR="000675F2" w:rsidRPr="005A1397" w:rsidRDefault="000675F2" w:rsidP="00257D51">
            <w:pPr>
              <w:pStyle w:val="tablecopy"/>
              <w:jc w:val="left"/>
              <w:rPr>
                <w:noProof w:val="0"/>
              </w:rPr>
            </w:pPr>
          </w:p>
        </w:tc>
        <w:tc>
          <w:tcPr>
            <w:tcW w:w="0" w:type="auto"/>
            <w:vAlign w:val="center"/>
          </w:tcPr>
          <w:p w14:paraId="0B3E464B" w14:textId="77777777" w:rsidR="000675F2" w:rsidRPr="00FA0112" w:rsidRDefault="000675F2" w:rsidP="00257D51">
            <w:pPr>
              <w:pStyle w:val="tablecopy"/>
              <w:jc w:val="left"/>
              <w:rPr>
                <w:noProof w:val="0"/>
              </w:rPr>
            </w:pPr>
            <w:r w:rsidRPr="00FA0112">
              <w:rPr>
                <w:color w:val="000000"/>
              </w:rPr>
              <w:t>GLSZM</w:t>
            </w:r>
          </w:p>
        </w:tc>
        <w:tc>
          <w:tcPr>
            <w:tcW w:w="0" w:type="auto"/>
            <w:vAlign w:val="center"/>
          </w:tcPr>
          <w:p w14:paraId="6F1B5BDF" w14:textId="77777777" w:rsidR="000675F2" w:rsidRPr="00FA0112" w:rsidRDefault="000675F2" w:rsidP="00257D51">
            <w:pPr>
              <w:pStyle w:val="tablecopy"/>
              <w:jc w:val="center"/>
              <w:rPr>
                <w:noProof w:val="0"/>
              </w:rPr>
            </w:pPr>
            <w:r>
              <w:rPr>
                <w:color w:val="000000"/>
              </w:rPr>
              <w:t>0.342</w:t>
            </w:r>
          </w:p>
        </w:tc>
        <w:tc>
          <w:tcPr>
            <w:tcW w:w="0" w:type="auto"/>
            <w:vAlign w:val="center"/>
          </w:tcPr>
          <w:p w14:paraId="07A075CC" w14:textId="77777777" w:rsidR="000675F2" w:rsidRPr="00FA0112" w:rsidRDefault="000675F2" w:rsidP="00257D51">
            <w:pPr>
              <w:pStyle w:val="tablecopy"/>
              <w:jc w:val="center"/>
              <w:rPr>
                <w:noProof w:val="0"/>
              </w:rPr>
            </w:pPr>
            <w:r>
              <w:rPr>
                <w:color w:val="000000"/>
              </w:rPr>
              <w:t>0.328</w:t>
            </w:r>
          </w:p>
        </w:tc>
      </w:tr>
      <w:tr w:rsidR="007112E6" w:rsidRPr="005A1397" w14:paraId="42965E94" w14:textId="77777777" w:rsidTr="00257D51">
        <w:trPr>
          <w:trHeight w:val="320"/>
          <w:jc w:val="center"/>
        </w:trPr>
        <w:tc>
          <w:tcPr>
            <w:tcW w:w="0" w:type="auto"/>
            <w:vMerge/>
          </w:tcPr>
          <w:p w14:paraId="24DDB583" w14:textId="77777777" w:rsidR="000675F2" w:rsidRPr="005A1397" w:rsidRDefault="000675F2" w:rsidP="00257D51">
            <w:pPr>
              <w:pStyle w:val="tablecopy"/>
              <w:jc w:val="left"/>
              <w:rPr>
                <w:noProof w:val="0"/>
              </w:rPr>
            </w:pPr>
          </w:p>
        </w:tc>
        <w:tc>
          <w:tcPr>
            <w:tcW w:w="0" w:type="auto"/>
            <w:vAlign w:val="center"/>
          </w:tcPr>
          <w:p w14:paraId="68891AB6" w14:textId="77777777" w:rsidR="000675F2" w:rsidRPr="00FA0112" w:rsidRDefault="000675F2" w:rsidP="00257D51">
            <w:pPr>
              <w:pStyle w:val="tablecopy"/>
              <w:jc w:val="left"/>
              <w:rPr>
                <w:noProof w:val="0"/>
              </w:rPr>
            </w:pPr>
            <w:r w:rsidRPr="00FA0112">
              <w:rPr>
                <w:color w:val="000000"/>
              </w:rPr>
              <w:t>GLDM</w:t>
            </w:r>
          </w:p>
        </w:tc>
        <w:tc>
          <w:tcPr>
            <w:tcW w:w="0" w:type="auto"/>
            <w:vAlign w:val="center"/>
          </w:tcPr>
          <w:p w14:paraId="6ED293D4" w14:textId="77777777" w:rsidR="000675F2" w:rsidRPr="00FA0112" w:rsidRDefault="000675F2" w:rsidP="00257D51">
            <w:pPr>
              <w:pStyle w:val="tablecopy"/>
              <w:jc w:val="center"/>
              <w:rPr>
                <w:noProof w:val="0"/>
              </w:rPr>
            </w:pPr>
            <w:r>
              <w:rPr>
                <w:color w:val="000000"/>
              </w:rPr>
              <w:t>0.369</w:t>
            </w:r>
          </w:p>
        </w:tc>
        <w:tc>
          <w:tcPr>
            <w:tcW w:w="0" w:type="auto"/>
            <w:vAlign w:val="center"/>
          </w:tcPr>
          <w:p w14:paraId="1F7E1272" w14:textId="77777777" w:rsidR="000675F2" w:rsidRPr="00FA0112" w:rsidRDefault="000675F2" w:rsidP="00257D51">
            <w:pPr>
              <w:pStyle w:val="tablecopy"/>
              <w:jc w:val="center"/>
              <w:rPr>
                <w:noProof w:val="0"/>
              </w:rPr>
            </w:pPr>
            <w:r>
              <w:rPr>
                <w:color w:val="000000"/>
              </w:rPr>
              <w:t>0.339</w:t>
            </w:r>
          </w:p>
        </w:tc>
      </w:tr>
      <w:tr w:rsidR="007112E6" w:rsidRPr="005A1397" w14:paraId="40AEE77D" w14:textId="77777777" w:rsidTr="00257D51">
        <w:trPr>
          <w:trHeight w:val="320"/>
          <w:jc w:val="center"/>
        </w:trPr>
        <w:tc>
          <w:tcPr>
            <w:tcW w:w="0" w:type="auto"/>
            <w:vMerge/>
          </w:tcPr>
          <w:p w14:paraId="1DB73254" w14:textId="77777777" w:rsidR="000675F2" w:rsidRPr="005A1397" w:rsidRDefault="000675F2" w:rsidP="00257D51">
            <w:pPr>
              <w:pStyle w:val="tablecopy"/>
              <w:jc w:val="left"/>
              <w:rPr>
                <w:noProof w:val="0"/>
              </w:rPr>
            </w:pPr>
          </w:p>
        </w:tc>
        <w:tc>
          <w:tcPr>
            <w:tcW w:w="0" w:type="auto"/>
            <w:vAlign w:val="center"/>
          </w:tcPr>
          <w:p w14:paraId="18127CD6" w14:textId="77777777" w:rsidR="000675F2" w:rsidRPr="00FA0112" w:rsidRDefault="000675F2" w:rsidP="00257D51">
            <w:pPr>
              <w:pStyle w:val="tablecopy"/>
              <w:jc w:val="left"/>
              <w:rPr>
                <w:noProof w:val="0"/>
              </w:rPr>
            </w:pPr>
            <w:r w:rsidRPr="00FA0112">
              <w:rPr>
                <w:color w:val="000000"/>
              </w:rPr>
              <w:t xml:space="preserve">NGTDM </w:t>
            </w:r>
          </w:p>
        </w:tc>
        <w:tc>
          <w:tcPr>
            <w:tcW w:w="0" w:type="auto"/>
            <w:vAlign w:val="center"/>
          </w:tcPr>
          <w:p w14:paraId="184BD9B0" w14:textId="77777777" w:rsidR="000675F2" w:rsidRPr="00FA0112" w:rsidRDefault="000675F2" w:rsidP="00257D51">
            <w:pPr>
              <w:pStyle w:val="tablecopy"/>
              <w:jc w:val="center"/>
              <w:rPr>
                <w:noProof w:val="0"/>
              </w:rPr>
            </w:pPr>
            <w:r>
              <w:rPr>
                <w:color w:val="000000"/>
              </w:rPr>
              <w:t>0.481</w:t>
            </w:r>
          </w:p>
        </w:tc>
        <w:tc>
          <w:tcPr>
            <w:tcW w:w="0" w:type="auto"/>
            <w:shd w:val="clear" w:color="auto" w:fill="92D050"/>
            <w:vAlign w:val="center"/>
          </w:tcPr>
          <w:p w14:paraId="30EAF467" w14:textId="77777777" w:rsidR="000675F2" w:rsidRPr="00FA0112" w:rsidRDefault="000675F2" w:rsidP="00257D51">
            <w:pPr>
              <w:pStyle w:val="tablecopy"/>
              <w:jc w:val="center"/>
              <w:rPr>
                <w:noProof w:val="0"/>
              </w:rPr>
            </w:pPr>
            <w:r>
              <w:rPr>
                <w:color w:val="000000"/>
              </w:rPr>
              <w:t>0.551</w:t>
            </w:r>
          </w:p>
        </w:tc>
      </w:tr>
      <w:tr w:rsidR="007112E6" w:rsidRPr="005A1397" w14:paraId="73A3F34F" w14:textId="77777777" w:rsidTr="00257D51">
        <w:trPr>
          <w:trHeight w:val="320"/>
          <w:jc w:val="center"/>
        </w:trPr>
        <w:tc>
          <w:tcPr>
            <w:tcW w:w="0" w:type="auto"/>
            <w:vMerge w:val="restart"/>
          </w:tcPr>
          <w:p w14:paraId="10F3789C" w14:textId="4706546B" w:rsidR="000675F2" w:rsidRPr="005A1397" w:rsidRDefault="007112E6" w:rsidP="00257D51">
            <w:pPr>
              <w:pStyle w:val="tablecopy"/>
              <w:jc w:val="left"/>
              <w:rPr>
                <w:noProof w:val="0"/>
              </w:rPr>
            </w:pPr>
            <w:r>
              <w:rPr>
                <w:noProof w:val="0"/>
              </w:rPr>
              <w:t xml:space="preserve">Noise additional with </w:t>
            </w:r>
            <w:r w:rsidR="000675F2">
              <w:rPr>
                <w:noProof w:val="0"/>
              </w:rPr>
              <w:t>SNR 90%</w:t>
            </w:r>
          </w:p>
        </w:tc>
        <w:tc>
          <w:tcPr>
            <w:tcW w:w="0" w:type="auto"/>
            <w:vAlign w:val="center"/>
          </w:tcPr>
          <w:p w14:paraId="6766B61C" w14:textId="77777777" w:rsidR="000675F2" w:rsidRPr="00FA0112" w:rsidRDefault="000675F2" w:rsidP="00257D51">
            <w:pPr>
              <w:pStyle w:val="tablecopy"/>
              <w:jc w:val="left"/>
              <w:rPr>
                <w:noProof w:val="0"/>
              </w:rPr>
            </w:pPr>
            <w:r w:rsidRPr="00FA0112">
              <w:rPr>
                <w:color w:val="000000"/>
              </w:rPr>
              <w:t>firstorder</w:t>
            </w:r>
          </w:p>
        </w:tc>
        <w:tc>
          <w:tcPr>
            <w:tcW w:w="0" w:type="auto"/>
            <w:vAlign w:val="center"/>
          </w:tcPr>
          <w:p w14:paraId="6A654E46" w14:textId="77777777" w:rsidR="000675F2" w:rsidRPr="00FA0112" w:rsidRDefault="000675F2" w:rsidP="00257D51">
            <w:pPr>
              <w:pStyle w:val="tablecopy"/>
              <w:jc w:val="center"/>
              <w:rPr>
                <w:noProof w:val="0"/>
              </w:rPr>
            </w:pPr>
            <w:r>
              <w:rPr>
                <w:color w:val="000000"/>
              </w:rPr>
              <w:t>0.351</w:t>
            </w:r>
          </w:p>
        </w:tc>
        <w:tc>
          <w:tcPr>
            <w:tcW w:w="0" w:type="auto"/>
            <w:vAlign w:val="center"/>
          </w:tcPr>
          <w:p w14:paraId="4B78C82B" w14:textId="77777777" w:rsidR="000675F2" w:rsidRPr="00FA0112" w:rsidRDefault="000675F2" w:rsidP="00257D51">
            <w:pPr>
              <w:pStyle w:val="tablecopy"/>
              <w:jc w:val="center"/>
              <w:rPr>
                <w:noProof w:val="0"/>
              </w:rPr>
            </w:pPr>
            <w:r>
              <w:rPr>
                <w:color w:val="000000"/>
              </w:rPr>
              <w:t>0.341</w:t>
            </w:r>
          </w:p>
        </w:tc>
      </w:tr>
      <w:tr w:rsidR="007112E6" w:rsidRPr="005A1397" w14:paraId="209CE554" w14:textId="77777777" w:rsidTr="00257D51">
        <w:trPr>
          <w:trHeight w:val="320"/>
          <w:jc w:val="center"/>
        </w:trPr>
        <w:tc>
          <w:tcPr>
            <w:tcW w:w="0" w:type="auto"/>
            <w:vMerge/>
          </w:tcPr>
          <w:p w14:paraId="73BA07CB" w14:textId="77777777" w:rsidR="000675F2" w:rsidRPr="005A1397" w:rsidRDefault="000675F2" w:rsidP="00257D51">
            <w:pPr>
              <w:pStyle w:val="tablecopy"/>
              <w:jc w:val="left"/>
              <w:rPr>
                <w:noProof w:val="0"/>
              </w:rPr>
            </w:pPr>
          </w:p>
        </w:tc>
        <w:tc>
          <w:tcPr>
            <w:tcW w:w="0" w:type="auto"/>
            <w:vAlign w:val="center"/>
          </w:tcPr>
          <w:p w14:paraId="42C9FEBE" w14:textId="77777777" w:rsidR="000675F2" w:rsidRPr="00FA0112" w:rsidRDefault="000675F2" w:rsidP="00257D51">
            <w:pPr>
              <w:pStyle w:val="tablecopy"/>
              <w:jc w:val="left"/>
              <w:rPr>
                <w:noProof w:val="0"/>
              </w:rPr>
            </w:pPr>
            <w:r w:rsidRPr="00FA0112">
              <w:rPr>
                <w:color w:val="000000"/>
              </w:rPr>
              <w:t>GLCM</w:t>
            </w:r>
          </w:p>
        </w:tc>
        <w:tc>
          <w:tcPr>
            <w:tcW w:w="0" w:type="auto"/>
            <w:vAlign w:val="center"/>
          </w:tcPr>
          <w:p w14:paraId="5A3E8C93" w14:textId="77777777" w:rsidR="000675F2" w:rsidRPr="00FA0112" w:rsidRDefault="000675F2" w:rsidP="00257D51">
            <w:pPr>
              <w:pStyle w:val="tablecopy"/>
              <w:jc w:val="center"/>
              <w:rPr>
                <w:noProof w:val="0"/>
              </w:rPr>
            </w:pPr>
            <w:r>
              <w:rPr>
                <w:color w:val="000000"/>
              </w:rPr>
              <w:t>0.366</w:t>
            </w:r>
          </w:p>
        </w:tc>
        <w:tc>
          <w:tcPr>
            <w:tcW w:w="0" w:type="auto"/>
            <w:vAlign w:val="center"/>
          </w:tcPr>
          <w:p w14:paraId="2CA3BD2B" w14:textId="77777777" w:rsidR="000675F2" w:rsidRPr="00FA0112" w:rsidRDefault="000675F2" w:rsidP="00257D51">
            <w:pPr>
              <w:pStyle w:val="tablecopy"/>
              <w:jc w:val="center"/>
              <w:rPr>
                <w:noProof w:val="0"/>
              </w:rPr>
            </w:pPr>
            <w:r>
              <w:rPr>
                <w:color w:val="000000"/>
              </w:rPr>
              <w:t>0.193</w:t>
            </w:r>
          </w:p>
        </w:tc>
      </w:tr>
      <w:tr w:rsidR="007112E6" w:rsidRPr="005A1397" w14:paraId="4FB430CD" w14:textId="77777777" w:rsidTr="00257D51">
        <w:trPr>
          <w:trHeight w:val="320"/>
          <w:jc w:val="center"/>
        </w:trPr>
        <w:tc>
          <w:tcPr>
            <w:tcW w:w="0" w:type="auto"/>
            <w:vMerge/>
          </w:tcPr>
          <w:p w14:paraId="3E167EAA" w14:textId="77777777" w:rsidR="000675F2" w:rsidRPr="005A1397" w:rsidRDefault="000675F2" w:rsidP="00257D51">
            <w:pPr>
              <w:pStyle w:val="tablecopy"/>
              <w:jc w:val="left"/>
              <w:rPr>
                <w:noProof w:val="0"/>
              </w:rPr>
            </w:pPr>
          </w:p>
        </w:tc>
        <w:tc>
          <w:tcPr>
            <w:tcW w:w="0" w:type="auto"/>
            <w:vAlign w:val="center"/>
          </w:tcPr>
          <w:p w14:paraId="00060D9D" w14:textId="77777777" w:rsidR="000675F2" w:rsidRPr="00FA0112" w:rsidRDefault="000675F2" w:rsidP="00257D51">
            <w:pPr>
              <w:pStyle w:val="tablecopy"/>
              <w:jc w:val="left"/>
              <w:rPr>
                <w:noProof w:val="0"/>
              </w:rPr>
            </w:pPr>
            <w:r w:rsidRPr="00FA0112">
              <w:rPr>
                <w:color w:val="000000"/>
              </w:rPr>
              <w:t>GLRLM</w:t>
            </w:r>
          </w:p>
        </w:tc>
        <w:tc>
          <w:tcPr>
            <w:tcW w:w="0" w:type="auto"/>
            <w:vAlign w:val="center"/>
          </w:tcPr>
          <w:p w14:paraId="0344E8F3" w14:textId="77777777" w:rsidR="000675F2" w:rsidRPr="00FA0112" w:rsidRDefault="000675F2" w:rsidP="00257D51">
            <w:pPr>
              <w:pStyle w:val="tablecopy"/>
              <w:jc w:val="center"/>
              <w:rPr>
                <w:noProof w:val="0"/>
              </w:rPr>
            </w:pPr>
            <w:r>
              <w:rPr>
                <w:color w:val="000000"/>
              </w:rPr>
              <w:t>0.358</w:t>
            </w:r>
          </w:p>
        </w:tc>
        <w:tc>
          <w:tcPr>
            <w:tcW w:w="0" w:type="auto"/>
            <w:vAlign w:val="center"/>
          </w:tcPr>
          <w:p w14:paraId="05A96C80" w14:textId="77777777" w:rsidR="000675F2" w:rsidRPr="00FA0112" w:rsidRDefault="000675F2" w:rsidP="00257D51">
            <w:pPr>
              <w:pStyle w:val="tablecopy"/>
              <w:jc w:val="center"/>
              <w:rPr>
                <w:noProof w:val="0"/>
              </w:rPr>
            </w:pPr>
            <w:r>
              <w:rPr>
                <w:color w:val="000000"/>
              </w:rPr>
              <w:t>0.340</w:t>
            </w:r>
          </w:p>
        </w:tc>
      </w:tr>
      <w:tr w:rsidR="007112E6" w:rsidRPr="005A1397" w14:paraId="749563A4" w14:textId="77777777" w:rsidTr="00257D51">
        <w:trPr>
          <w:trHeight w:val="320"/>
          <w:jc w:val="center"/>
        </w:trPr>
        <w:tc>
          <w:tcPr>
            <w:tcW w:w="0" w:type="auto"/>
            <w:vMerge/>
          </w:tcPr>
          <w:p w14:paraId="4EC10900" w14:textId="77777777" w:rsidR="000675F2" w:rsidRPr="005A1397" w:rsidRDefault="000675F2" w:rsidP="00257D51">
            <w:pPr>
              <w:pStyle w:val="tablecopy"/>
              <w:jc w:val="left"/>
              <w:rPr>
                <w:noProof w:val="0"/>
              </w:rPr>
            </w:pPr>
          </w:p>
        </w:tc>
        <w:tc>
          <w:tcPr>
            <w:tcW w:w="0" w:type="auto"/>
            <w:vAlign w:val="center"/>
          </w:tcPr>
          <w:p w14:paraId="5E83152C" w14:textId="77777777" w:rsidR="000675F2" w:rsidRPr="00FA0112" w:rsidRDefault="000675F2" w:rsidP="00257D51">
            <w:pPr>
              <w:pStyle w:val="tablecopy"/>
              <w:jc w:val="left"/>
              <w:rPr>
                <w:noProof w:val="0"/>
              </w:rPr>
            </w:pPr>
            <w:r w:rsidRPr="00FA0112">
              <w:rPr>
                <w:color w:val="000000"/>
              </w:rPr>
              <w:t>GLSZM</w:t>
            </w:r>
          </w:p>
        </w:tc>
        <w:tc>
          <w:tcPr>
            <w:tcW w:w="0" w:type="auto"/>
            <w:vAlign w:val="center"/>
          </w:tcPr>
          <w:p w14:paraId="65D02075" w14:textId="77777777" w:rsidR="000675F2" w:rsidRPr="00FA0112" w:rsidRDefault="000675F2" w:rsidP="00257D51">
            <w:pPr>
              <w:pStyle w:val="tablecopy"/>
              <w:jc w:val="center"/>
              <w:rPr>
                <w:noProof w:val="0"/>
              </w:rPr>
            </w:pPr>
            <w:r>
              <w:rPr>
                <w:color w:val="000000"/>
              </w:rPr>
              <w:t>0.337</w:t>
            </w:r>
          </w:p>
        </w:tc>
        <w:tc>
          <w:tcPr>
            <w:tcW w:w="0" w:type="auto"/>
            <w:vAlign w:val="center"/>
          </w:tcPr>
          <w:p w14:paraId="7C7A22C9" w14:textId="77777777" w:rsidR="000675F2" w:rsidRPr="00FA0112" w:rsidRDefault="000675F2" w:rsidP="00257D51">
            <w:pPr>
              <w:pStyle w:val="tablecopy"/>
              <w:jc w:val="center"/>
              <w:rPr>
                <w:noProof w:val="0"/>
              </w:rPr>
            </w:pPr>
            <w:r>
              <w:rPr>
                <w:color w:val="000000"/>
              </w:rPr>
              <w:t>0.329</w:t>
            </w:r>
          </w:p>
        </w:tc>
      </w:tr>
      <w:tr w:rsidR="007112E6" w:rsidRPr="005A1397" w14:paraId="0562ED4B" w14:textId="77777777" w:rsidTr="00257D51">
        <w:trPr>
          <w:trHeight w:val="320"/>
          <w:jc w:val="center"/>
        </w:trPr>
        <w:tc>
          <w:tcPr>
            <w:tcW w:w="0" w:type="auto"/>
            <w:vMerge/>
          </w:tcPr>
          <w:p w14:paraId="221C76B4" w14:textId="77777777" w:rsidR="000675F2" w:rsidRPr="005A1397" w:rsidRDefault="000675F2" w:rsidP="00257D51">
            <w:pPr>
              <w:pStyle w:val="tablecopy"/>
              <w:jc w:val="left"/>
              <w:rPr>
                <w:noProof w:val="0"/>
              </w:rPr>
            </w:pPr>
          </w:p>
        </w:tc>
        <w:tc>
          <w:tcPr>
            <w:tcW w:w="0" w:type="auto"/>
            <w:vAlign w:val="center"/>
          </w:tcPr>
          <w:p w14:paraId="39028F10" w14:textId="77777777" w:rsidR="000675F2" w:rsidRPr="00FA0112" w:rsidRDefault="000675F2" w:rsidP="00257D51">
            <w:pPr>
              <w:pStyle w:val="tablecopy"/>
              <w:jc w:val="left"/>
              <w:rPr>
                <w:noProof w:val="0"/>
              </w:rPr>
            </w:pPr>
            <w:r w:rsidRPr="00FA0112">
              <w:rPr>
                <w:color w:val="000000"/>
              </w:rPr>
              <w:t>GLDM</w:t>
            </w:r>
          </w:p>
        </w:tc>
        <w:tc>
          <w:tcPr>
            <w:tcW w:w="0" w:type="auto"/>
            <w:vAlign w:val="center"/>
          </w:tcPr>
          <w:p w14:paraId="32373114" w14:textId="77777777" w:rsidR="000675F2" w:rsidRPr="00FA0112" w:rsidRDefault="000675F2" w:rsidP="00257D51">
            <w:pPr>
              <w:pStyle w:val="tablecopy"/>
              <w:jc w:val="center"/>
              <w:rPr>
                <w:noProof w:val="0"/>
              </w:rPr>
            </w:pPr>
            <w:r>
              <w:rPr>
                <w:color w:val="000000"/>
              </w:rPr>
              <w:t>0.370</w:t>
            </w:r>
          </w:p>
        </w:tc>
        <w:tc>
          <w:tcPr>
            <w:tcW w:w="0" w:type="auto"/>
            <w:vAlign w:val="center"/>
          </w:tcPr>
          <w:p w14:paraId="0A62A50F" w14:textId="77777777" w:rsidR="000675F2" w:rsidRPr="00FA0112" w:rsidRDefault="000675F2" w:rsidP="00257D51">
            <w:pPr>
              <w:pStyle w:val="tablecopy"/>
              <w:jc w:val="center"/>
              <w:rPr>
                <w:noProof w:val="0"/>
              </w:rPr>
            </w:pPr>
            <w:r>
              <w:rPr>
                <w:color w:val="000000"/>
              </w:rPr>
              <w:t>0.339</w:t>
            </w:r>
          </w:p>
        </w:tc>
      </w:tr>
      <w:tr w:rsidR="007112E6" w:rsidRPr="005A1397" w14:paraId="6B4FAEB8" w14:textId="77777777" w:rsidTr="00257D51">
        <w:trPr>
          <w:trHeight w:val="320"/>
          <w:jc w:val="center"/>
        </w:trPr>
        <w:tc>
          <w:tcPr>
            <w:tcW w:w="0" w:type="auto"/>
            <w:vMerge/>
          </w:tcPr>
          <w:p w14:paraId="3F361C9B" w14:textId="77777777" w:rsidR="000675F2" w:rsidRPr="005A1397" w:rsidRDefault="000675F2" w:rsidP="00257D51">
            <w:pPr>
              <w:pStyle w:val="tablecopy"/>
              <w:jc w:val="left"/>
              <w:rPr>
                <w:noProof w:val="0"/>
              </w:rPr>
            </w:pPr>
          </w:p>
        </w:tc>
        <w:tc>
          <w:tcPr>
            <w:tcW w:w="0" w:type="auto"/>
            <w:vAlign w:val="center"/>
          </w:tcPr>
          <w:p w14:paraId="19F42F4B" w14:textId="77777777" w:rsidR="000675F2" w:rsidRPr="00FA0112" w:rsidRDefault="000675F2" w:rsidP="00257D51">
            <w:pPr>
              <w:pStyle w:val="tablecopy"/>
              <w:jc w:val="left"/>
              <w:rPr>
                <w:noProof w:val="0"/>
              </w:rPr>
            </w:pPr>
            <w:r w:rsidRPr="00FA0112">
              <w:rPr>
                <w:color w:val="000000"/>
              </w:rPr>
              <w:t xml:space="preserve">NGTDM </w:t>
            </w:r>
          </w:p>
        </w:tc>
        <w:tc>
          <w:tcPr>
            <w:tcW w:w="0" w:type="auto"/>
            <w:vAlign w:val="center"/>
          </w:tcPr>
          <w:p w14:paraId="47C70093" w14:textId="77777777" w:rsidR="000675F2" w:rsidRPr="00FA0112" w:rsidRDefault="000675F2" w:rsidP="00257D51">
            <w:pPr>
              <w:pStyle w:val="tablecopy"/>
              <w:jc w:val="center"/>
              <w:rPr>
                <w:noProof w:val="0"/>
              </w:rPr>
            </w:pPr>
            <w:r>
              <w:rPr>
                <w:color w:val="000000"/>
              </w:rPr>
              <w:t>0.304</w:t>
            </w:r>
          </w:p>
        </w:tc>
        <w:tc>
          <w:tcPr>
            <w:tcW w:w="0" w:type="auto"/>
            <w:shd w:val="clear" w:color="auto" w:fill="92D050"/>
            <w:vAlign w:val="center"/>
          </w:tcPr>
          <w:p w14:paraId="386DE750" w14:textId="77777777" w:rsidR="000675F2" w:rsidRPr="00FA0112" w:rsidRDefault="000675F2" w:rsidP="00257D51">
            <w:pPr>
              <w:pStyle w:val="tablecopy"/>
              <w:jc w:val="center"/>
              <w:rPr>
                <w:noProof w:val="0"/>
              </w:rPr>
            </w:pPr>
            <w:r>
              <w:rPr>
                <w:color w:val="000000"/>
              </w:rPr>
              <w:t>0.582</w:t>
            </w:r>
          </w:p>
        </w:tc>
      </w:tr>
    </w:tbl>
    <w:p w14:paraId="6A23099D" w14:textId="631EC38C" w:rsidR="005A1397" w:rsidRPr="005A1397" w:rsidRDefault="00A64AF3" w:rsidP="005A1397">
      <w:pPr>
        <w:pStyle w:val="Heading1"/>
        <w:rPr>
          <w:noProof w:val="0"/>
        </w:rPr>
      </w:pPr>
      <w:r>
        <w:rPr>
          <w:noProof w:val="0"/>
        </w:rPr>
        <w:t>Conclusion</w:t>
      </w:r>
    </w:p>
    <w:p w14:paraId="1E0F2B5C" w14:textId="77777777" w:rsidR="005B2A2D" w:rsidRDefault="005B2A2D" w:rsidP="005A1397">
      <w:pPr>
        <w:pStyle w:val="BodyText"/>
        <w:rPr>
          <w:lang w:val="en-US"/>
        </w:rPr>
      </w:pPr>
      <w:r w:rsidRPr="005B2A2D">
        <w:rPr>
          <w:lang w:val="en-US"/>
        </w:rPr>
        <w:t>Wavelet derived features, in this scope Daubechies level 1 type is used for noise interference added to the radiomic features of liver tumors which indicates that this type of wavelet derived feature is only able to increase the reliability of one group of features, namely the NGTDM texture features. The comparison results between using radiomic features with original image filters and using derived wavelet features state that the derived wavelet features do not have a big influence on LiTS17 data, many original features also produce higher ICC features in groups other than NGTDM. This cannot be validated with data support because the intensity of the supporting data image before the disturbance is not good.</w:t>
      </w:r>
    </w:p>
    <w:p w14:paraId="473F514D" w14:textId="77777777" w:rsidR="005B2A2D" w:rsidRDefault="005B2A2D" w:rsidP="005A1397">
      <w:pPr>
        <w:pStyle w:val="BodyText"/>
        <w:rPr>
          <w:lang w:val="en-US"/>
        </w:rPr>
      </w:pPr>
    </w:p>
    <w:p w14:paraId="5D34C365" w14:textId="46FF3273" w:rsidR="005A1397" w:rsidRPr="005A1397" w:rsidRDefault="00841C72" w:rsidP="005A1397">
      <w:pPr>
        <w:pStyle w:val="BodyText"/>
        <w:rPr>
          <w:lang w:val="en-US"/>
        </w:rPr>
      </w:pPr>
      <w:r>
        <w:rPr>
          <w:lang w:val="en-US"/>
        </w:rPr>
        <w:t xml:space="preserve"> </w:t>
      </w:r>
    </w:p>
    <w:p w14:paraId="09C6CE19" w14:textId="77777777" w:rsidR="005A1397" w:rsidRPr="005A1397" w:rsidRDefault="005A1397" w:rsidP="005A1397">
      <w:pPr>
        <w:pStyle w:val="Heading5"/>
        <w:rPr>
          <w:noProof w:val="0"/>
        </w:rPr>
      </w:pPr>
      <w:r w:rsidRPr="005A1397">
        <w:rPr>
          <w:noProof w:val="0"/>
        </w:rPr>
        <w:t>References</w:t>
      </w:r>
    </w:p>
    <w:p w14:paraId="770F8948" w14:textId="4C653D21" w:rsidR="00A86525" w:rsidRPr="00A86525" w:rsidRDefault="00A1194D" w:rsidP="00CE758D">
      <w:pPr>
        <w:widowControl w:val="0"/>
        <w:autoSpaceDE w:val="0"/>
        <w:autoSpaceDN w:val="0"/>
        <w:adjustRightInd w:val="0"/>
        <w:ind w:left="360" w:hanging="360"/>
        <w:jc w:val="both"/>
        <w:rPr>
          <w:noProof/>
          <w:sz w:val="16"/>
          <w:szCs w:val="24"/>
        </w:rPr>
      </w:pPr>
      <w:r w:rsidRPr="003F31A1">
        <w:rPr>
          <w:sz w:val="16"/>
          <w:szCs w:val="16"/>
        </w:rPr>
        <w:fldChar w:fldCharType="begin" w:fldLock="1"/>
      </w:r>
      <w:r w:rsidRPr="003F31A1">
        <w:rPr>
          <w:sz w:val="16"/>
          <w:szCs w:val="16"/>
        </w:rPr>
        <w:instrText xml:space="preserve">ADDIN Mendeley Bibliography CSL_BIBLIOGRAPHY </w:instrText>
      </w:r>
      <w:r w:rsidRPr="003F31A1">
        <w:rPr>
          <w:sz w:val="16"/>
          <w:szCs w:val="16"/>
        </w:rPr>
        <w:fldChar w:fldCharType="separate"/>
      </w:r>
      <w:r w:rsidR="00A86525" w:rsidRPr="00A86525">
        <w:rPr>
          <w:noProof/>
          <w:sz w:val="16"/>
          <w:szCs w:val="24"/>
        </w:rPr>
        <w:t>[1]</w:t>
      </w:r>
      <w:r w:rsidR="00A86525" w:rsidRPr="00A86525">
        <w:rPr>
          <w:noProof/>
          <w:sz w:val="16"/>
          <w:szCs w:val="24"/>
        </w:rPr>
        <w:tab/>
        <w:t xml:space="preserve">A. S. Tagliafico, M. Piana, D. Schenone, R. Lai, A. M. Massone, and N. Houssami, “Overview of radiomics in breast cancer diagnosis and prognostication,” </w:t>
      </w:r>
      <w:r w:rsidR="00A86525" w:rsidRPr="00A86525">
        <w:rPr>
          <w:i/>
          <w:iCs/>
          <w:noProof/>
          <w:sz w:val="16"/>
          <w:szCs w:val="24"/>
        </w:rPr>
        <w:t>Breast</w:t>
      </w:r>
      <w:r w:rsidR="00A86525" w:rsidRPr="00A86525">
        <w:rPr>
          <w:noProof/>
          <w:sz w:val="16"/>
          <w:szCs w:val="24"/>
        </w:rPr>
        <w:t>, vol. 49, pp. 74–80, 2020, doi: 10.1016/j.breast.2019.10.018.</w:t>
      </w:r>
    </w:p>
    <w:p w14:paraId="2A128A31"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[2]</w:t>
      </w:r>
      <w:r w:rsidRPr="00A86525">
        <w:rPr>
          <w:noProof/>
          <w:sz w:val="16"/>
          <w:szCs w:val="24"/>
        </w:rPr>
        <w:tab/>
        <w:t xml:space="preserve">A. Somasundaram </w:t>
      </w:r>
      <w:r w:rsidRPr="00A86525">
        <w:rPr>
          <w:i/>
          <w:iCs/>
          <w:noProof/>
          <w:sz w:val="16"/>
          <w:szCs w:val="24"/>
        </w:rPr>
        <w:t>et al.</w:t>
      </w:r>
      <w:r w:rsidRPr="00A86525">
        <w:rPr>
          <w:noProof/>
          <w:sz w:val="16"/>
          <w:szCs w:val="24"/>
        </w:rPr>
        <w:t xml:space="preserve">, “Mitigation of noise-induced bias of PET radiomic features,” </w:t>
      </w:r>
      <w:r w:rsidRPr="00A86525">
        <w:rPr>
          <w:i/>
          <w:iCs/>
          <w:noProof/>
          <w:sz w:val="16"/>
          <w:szCs w:val="24"/>
        </w:rPr>
        <w:t>PLoS One</w:t>
      </w:r>
      <w:r w:rsidRPr="00A86525">
        <w:rPr>
          <w:noProof/>
          <w:sz w:val="16"/>
          <w:szCs w:val="24"/>
        </w:rPr>
        <w:t>, vol. 17, no. 8 August, 2022, doi: 10.1371/journal.pone.0272643.</w:t>
      </w:r>
    </w:p>
    <w:p w14:paraId="244C372B"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[3]</w:t>
      </w:r>
      <w:r w:rsidRPr="00A86525">
        <w:rPr>
          <w:noProof/>
          <w:sz w:val="16"/>
          <w:szCs w:val="24"/>
        </w:rPr>
        <w:tab/>
        <w:t xml:space="preserve">G. Palareti </w:t>
      </w:r>
      <w:r w:rsidRPr="00A86525">
        <w:rPr>
          <w:i/>
          <w:iCs/>
          <w:noProof/>
          <w:sz w:val="16"/>
          <w:szCs w:val="24"/>
        </w:rPr>
        <w:t>et al.</w:t>
      </w:r>
      <w:r w:rsidRPr="00A86525">
        <w:rPr>
          <w:noProof/>
          <w:sz w:val="16"/>
          <w:szCs w:val="24"/>
        </w:rPr>
        <w:t xml:space="preserve">, “Comparison between different D-Dimer cutoff values to assess the individual risk of recurrent venous thromboembolism: Analysis of results obtained in the DULCIS study,” </w:t>
      </w:r>
      <w:r w:rsidRPr="00A86525">
        <w:rPr>
          <w:i/>
          <w:iCs/>
          <w:noProof/>
          <w:sz w:val="16"/>
          <w:szCs w:val="24"/>
        </w:rPr>
        <w:t>Int. J. Lab. Hematol.</w:t>
      </w:r>
      <w:r w:rsidRPr="00A86525">
        <w:rPr>
          <w:noProof/>
          <w:sz w:val="16"/>
          <w:szCs w:val="24"/>
        </w:rPr>
        <w:t>, vol. 38, no. 1, pp. 42–49, 2016, doi: 10.1111/ijlh.12426.</w:t>
      </w:r>
    </w:p>
    <w:p w14:paraId="1AED3D65"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[4]</w:t>
      </w:r>
      <w:r w:rsidRPr="00A86525">
        <w:rPr>
          <w:noProof/>
          <w:sz w:val="16"/>
          <w:szCs w:val="24"/>
        </w:rPr>
        <w:tab/>
        <w:t xml:space="preserve">H. Bagher-Ebadian, C. Liu, F. Siddiqui, B. Movsas, and I. J. Chetty, “On the Impact of Smoothing and Noise on Robustness of CT and CBCT Radiomics Features for Patients with Head and Neck Cancers,” </w:t>
      </w:r>
      <w:r w:rsidRPr="00A86525">
        <w:rPr>
          <w:i/>
          <w:iCs/>
          <w:noProof/>
          <w:sz w:val="16"/>
          <w:szCs w:val="24"/>
        </w:rPr>
        <w:t>Int. J. Radiat. Oncol.</w:t>
      </w:r>
      <w:r w:rsidRPr="00A86525">
        <w:rPr>
          <w:noProof/>
          <w:sz w:val="16"/>
          <w:szCs w:val="24"/>
        </w:rPr>
        <w:t>, vol. 99, no. 2, p. S93, 2017, doi: 10.1016/j.ijrobp.2017.06.225.</w:t>
      </w:r>
    </w:p>
    <w:p w14:paraId="1A591E31"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[5]</w:t>
      </w:r>
      <w:r w:rsidRPr="00A86525">
        <w:rPr>
          <w:noProof/>
          <w:sz w:val="16"/>
          <w:szCs w:val="24"/>
        </w:rPr>
        <w:tab/>
        <w:t xml:space="preserve">Q. Chen, L. Wang, L. Wang, Z. Deng, J. Zhang, and Y. Zhu, “Glioma Grade Prediction Using Wavelet Scattering-Based Radiomics,” </w:t>
      </w:r>
      <w:r w:rsidRPr="00A86525">
        <w:rPr>
          <w:i/>
          <w:iCs/>
          <w:noProof/>
          <w:sz w:val="16"/>
          <w:szCs w:val="24"/>
        </w:rPr>
        <w:t>IEEE Access</w:t>
      </w:r>
      <w:r w:rsidRPr="00A86525">
        <w:rPr>
          <w:noProof/>
          <w:sz w:val="16"/>
          <w:szCs w:val="24"/>
        </w:rPr>
        <w:t>, vol. 8, pp. 106564–106575, 2020, doi: 10.1109/ACCESS.2020.3000895.</w:t>
      </w:r>
    </w:p>
    <w:p w14:paraId="67E7F0C0"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[6]</w:t>
      </w:r>
      <w:r w:rsidRPr="00A86525">
        <w:rPr>
          <w:noProof/>
          <w:sz w:val="16"/>
          <w:szCs w:val="24"/>
        </w:rPr>
        <w:tab/>
        <w:t xml:space="preserve">J. Zhou </w:t>
      </w:r>
      <w:r w:rsidRPr="00A86525">
        <w:rPr>
          <w:i/>
          <w:iCs/>
          <w:noProof/>
          <w:sz w:val="16"/>
          <w:szCs w:val="24"/>
        </w:rPr>
        <w:t>et al.</w:t>
      </w:r>
      <w:r w:rsidRPr="00A86525">
        <w:rPr>
          <w:noProof/>
          <w:sz w:val="16"/>
          <w:szCs w:val="24"/>
        </w:rPr>
        <w:t xml:space="preserve">, “Predicting the response to neoadjuvant chemotherapy for breast cancer: Wavelet transforming radiomics in MRI,” </w:t>
      </w:r>
      <w:r w:rsidRPr="00A86525">
        <w:rPr>
          <w:i/>
          <w:iCs/>
          <w:noProof/>
          <w:sz w:val="16"/>
          <w:szCs w:val="24"/>
        </w:rPr>
        <w:t>BMC Cancer</w:t>
      </w:r>
      <w:r w:rsidRPr="00A86525">
        <w:rPr>
          <w:noProof/>
          <w:sz w:val="16"/>
          <w:szCs w:val="24"/>
        </w:rPr>
        <w:t>, vol. 20, no. 1, pp. 1–10, 2020, doi: 10.1186/s12885-020-6523-2.</w:t>
      </w:r>
    </w:p>
    <w:p w14:paraId="480BE35F"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[7]</w:t>
      </w:r>
      <w:r w:rsidRPr="00A86525">
        <w:rPr>
          <w:noProof/>
          <w:sz w:val="16"/>
          <w:szCs w:val="24"/>
        </w:rPr>
        <w:tab/>
        <w:t>R. S. Z. Aini, “Digilib ITB.” https://digilib.itb.ac.id/index.php/gdl/view/68643 (accessed May 12, 2023).</w:t>
      </w:r>
    </w:p>
    <w:p w14:paraId="0B1E8364"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[8]</w:t>
      </w:r>
      <w:r w:rsidRPr="00A86525">
        <w:rPr>
          <w:noProof/>
          <w:sz w:val="16"/>
          <w:szCs w:val="24"/>
        </w:rPr>
        <w:tab/>
        <w:t xml:space="preserve">P. Bilic </w:t>
      </w:r>
      <w:r w:rsidRPr="00A86525">
        <w:rPr>
          <w:i/>
          <w:iCs/>
          <w:noProof/>
          <w:sz w:val="16"/>
          <w:szCs w:val="24"/>
        </w:rPr>
        <w:t>et al.</w:t>
      </w:r>
      <w:r w:rsidRPr="00A86525">
        <w:rPr>
          <w:noProof/>
          <w:sz w:val="16"/>
          <w:szCs w:val="24"/>
        </w:rPr>
        <w:t>, “The Liver Tumor Segmentation Benchmark (LiTS),” no. January, 2019, [Online]. Available: http://arxiv.org/abs/1901.04056.</w:t>
      </w:r>
    </w:p>
    <w:p w14:paraId="2CA33892"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[9]</w:t>
      </w:r>
      <w:r w:rsidRPr="00A86525">
        <w:rPr>
          <w:noProof/>
          <w:sz w:val="16"/>
          <w:szCs w:val="24"/>
        </w:rPr>
        <w:tab/>
        <w:t xml:space="preserve">L. Soler </w:t>
      </w:r>
      <w:r w:rsidRPr="00A86525">
        <w:rPr>
          <w:i/>
          <w:iCs/>
          <w:noProof/>
          <w:sz w:val="16"/>
          <w:szCs w:val="24"/>
        </w:rPr>
        <w:t>et al.</w:t>
      </w:r>
      <w:r w:rsidRPr="00A86525">
        <w:rPr>
          <w:noProof/>
          <w:sz w:val="16"/>
          <w:szCs w:val="24"/>
        </w:rPr>
        <w:t>, “3D Image Reconstruction for Comparison of Algorithm Database: a Patient-Specific Anatomical and Medical Image Database,” p. 67091, 2010.</w:t>
      </w:r>
    </w:p>
    <w:p w14:paraId="0CBDF715"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[10]</w:t>
      </w:r>
      <w:r w:rsidRPr="00A86525">
        <w:rPr>
          <w:noProof/>
          <w:sz w:val="16"/>
          <w:szCs w:val="24"/>
        </w:rPr>
        <w:tab/>
        <w:t xml:space="preserve">J. J. M. Van Griethuysen </w:t>
      </w:r>
      <w:r w:rsidRPr="00A86525">
        <w:rPr>
          <w:i/>
          <w:iCs/>
          <w:noProof/>
          <w:sz w:val="16"/>
          <w:szCs w:val="24"/>
        </w:rPr>
        <w:t>et al.</w:t>
      </w:r>
      <w:r w:rsidRPr="00A86525">
        <w:rPr>
          <w:noProof/>
          <w:sz w:val="16"/>
          <w:szCs w:val="24"/>
        </w:rPr>
        <w:t xml:space="preserve">, “Computational radiomics system to decode the radiographic phenotype,” </w:t>
      </w:r>
      <w:r w:rsidRPr="00A86525">
        <w:rPr>
          <w:i/>
          <w:iCs/>
          <w:noProof/>
          <w:sz w:val="16"/>
          <w:szCs w:val="24"/>
        </w:rPr>
        <w:t>Cancer Res.</w:t>
      </w:r>
      <w:r w:rsidRPr="00A86525">
        <w:rPr>
          <w:noProof/>
          <w:sz w:val="16"/>
          <w:szCs w:val="24"/>
        </w:rPr>
        <w:t>, vol. 77, no. 21, pp. e104–e107, 2017, doi: 10.1158/0008-5472.CAN-17-0339.</w:t>
      </w:r>
    </w:p>
    <w:p w14:paraId="6EBCA363"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[11]</w:t>
      </w:r>
      <w:r w:rsidRPr="00A86525">
        <w:rPr>
          <w:noProof/>
          <w:sz w:val="16"/>
          <w:szCs w:val="24"/>
        </w:rPr>
        <w:tab/>
        <w:t>M. Soufi, H. Arimura, and N. Nagami, “Article Type: Research Article Identification of optimal mother wavelets in survival prediction of lung cancer patients using wavelet decomposition-based radiomic features,” doi: 10.1002/mp.13202.</w:t>
      </w:r>
    </w:p>
    <w:p w14:paraId="55D50719"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[12]</w:t>
      </w:r>
      <w:r w:rsidRPr="00A86525">
        <w:rPr>
          <w:noProof/>
          <w:sz w:val="16"/>
          <w:szCs w:val="24"/>
        </w:rPr>
        <w:tab/>
        <w:t>Y. Meyer, “Chapter 2 Daubechies wavelets.”</w:t>
      </w:r>
    </w:p>
    <w:p w14:paraId="687E26EB" w14:textId="77777777" w:rsidR="00A86525" w:rsidRPr="00A86525" w:rsidRDefault="00A86525" w:rsidP="00CE758D">
      <w:pPr>
        <w:widowControl w:val="0"/>
        <w:autoSpaceDE w:val="0"/>
        <w:autoSpaceDN w:val="0"/>
        <w:adjustRightInd w:val="0"/>
        <w:ind w:left="360" w:hanging="360"/>
        <w:jc w:val="both"/>
        <w:rPr>
          <w:noProof/>
          <w:sz w:val="16"/>
          <w:szCs w:val="24"/>
        </w:rPr>
      </w:pPr>
      <w:r w:rsidRPr="00A86525">
        <w:rPr>
          <w:noProof/>
          <w:sz w:val="16"/>
          <w:szCs w:val="24"/>
        </w:rPr>
        <w:t>[13]</w:t>
      </w:r>
      <w:r w:rsidRPr="00A86525">
        <w:rPr>
          <w:noProof/>
          <w:sz w:val="16"/>
          <w:szCs w:val="24"/>
        </w:rPr>
        <w:tab/>
        <w:t xml:space="preserve">T. K. Koo and M. Y. Li, “A Guideline of Selecting and Reporting Intraclass Correlation Coefficients for Reliability Research,” </w:t>
      </w:r>
      <w:r w:rsidRPr="00A86525">
        <w:rPr>
          <w:i/>
          <w:iCs/>
          <w:noProof/>
          <w:sz w:val="16"/>
          <w:szCs w:val="24"/>
        </w:rPr>
        <w:t>J. Chiropr. Med.</w:t>
      </w:r>
      <w:r w:rsidRPr="00A86525">
        <w:rPr>
          <w:noProof/>
          <w:sz w:val="16"/>
          <w:szCs w:val="24"/>
        </w:rPr>
        <w:t>, 2015, doi: 10.1016/j.jcm.2016.02.012.</w:t>
      </w:r>
    </w:p>
    <w:p w14:paraId="4AA7E13C" w14:textId="77777777" w:rsidR="00A86525" w:rsidRPr="00A86525" w:rsidRDefault="00A86525" w:rsidP="00CE758D">
      <w:pPr>
        <w:widowControl w:val="0"/>
        <w:autoSpaceDE w:val="0"/>
        <w:autoSpaceDN w:val="0"/>
        <w:adjustRightInd w:val="0"/>
        <w:ind w:left="360" w:hanging="360"/>
        <w:jc w:val="both"/>
        <w:rPr>
          <w:noProof/>
          <w:sz w:val="16"/>
        </w:rPr>
      </w:pPr>
      <w:r w:rsidRPr="00A86525">
        <w:rPr>
          <w:noProof/>
          <w:sz w:val="16"/>
          <w:szCs w:val="24"/>
        </w:rPr>
        <w:t>[14]</w:t>
      </w:r>
      <w:r w:rsidRPr="00A86525">
        <w:rPr>
          <w:noProof/>
          <w:sz w:val="16"/>
          <w:szCs w:val="24"/>
        </w:rPr>
        <w:tab/>
        <w:t>F. Prinzi, C. Militello, and V. Conti, “Impact of Wavelet Kernels on Predictive Capability of Radiomic Features : A Case Study on COVID-19 Chest X-ray Images,” 2023.</w:t>
      </w:r>
    </w:p>
    <w:p w14:paraId="03CA05FC" w14:textId="33E21D04" w:rsidR="005A1397" w:rsidRPr="005A1397" w:rsidRDefault="00A1194D" w:rsidP="00FC572C">
      <w:pPr>
        <w:ind w:left="270" w:hanging="270"/>
        <w:jc w:val="both"/>
      </w:pPr>
      <w:r w:rsidRPr="003F31A1">
        <w:rPr>
          <w:sz w:val="16"/>
          <w:szCs w:val="16"/>
        </w:rPr>
        <w:fldChar w:fldCharType="end"/>
      </w:r>
    </w:p>
    <w:p w14:paraId="757EE5DF" w14:textId="77777777" w:rsidR="005A1397" w:rsidRPr="005A1397" w:rsidRDefault="005A1397" w:rsidP="005A1397">
      <w:pPr>
        <w:pStyle w:val="references"/>
        <w:numPr>
          <w:ilvl w:val="0"/>
          <w:numId w:val="0"/>
        </w:numPr>
        <w:ind w:left="360" w:hanging="360"/>
        <w:rPr>
          <w:noProof w:val="0"/>
        </w:rPr>
      </w:pPr>
    </w:p>
    <w:p w14:paraId="2045971F" w14:textId="77777777" w:rsidR="005A1397" w:rsidRPr="005A1397" w:rsidRDefault="005A1397" w:rsidP="005A1397">
      <w:pPr>
        <w:pStyle w:val="references"/>
        <w:numPr>
          <w:ilvl w:val="0"/>
          <w:numId w:val="0"/>
        </w:numPr>
        <w:ind w:left="360" w:hanging="360"/>
        <w:jc w:val="center"/>
        <w:rPr>
          <w:rFonts w:eastAsia="SimSun"/>
          <w:b/>
          <w:noProof w:val="0"/>
          <w:color w:val="FF0000"/>
          <w:spacing w:val="-1"/>
          <w:sz w:val="20"/>
          <w:szCs w:val="20"/>
          <w:lang w:eastAsia="x-none"/>
        </w:rPr>
        <w:sectPr w:rsidR="005A1397" w:rsidRPr="005A1397" w:rsidSect="005A1397">
          <w:type w:val="continuous"/>
          <w:pgSz w:w="11906" w:h="16838" w:code="9"/>
          <w:pgMar w:top="1985" w:right="1134" w:bottom="1134" w:left="1134" w:header="720" w:footer="720" w:gutter="0"/>
          <w:cols w:num="2" w:space="360"/>
          <w:docGrid w:linePitch="360"/>
        </w:sectPr>
      </w:pPr>
    </w:p>
    <w:p w14:paraId="28C34486" w14:textId="7A3CC14C" w:rsidR="005A1397" w:rsidRPr="005A1397" w:rsidRDefault="005A1397" w:rsidP="005A1397"/>
    <w:p w14:paraId="66288E5C" w14:textId="77777777" w:rsidR="001B60C5" w:rsidRPr="005A1397" w:rsidRDefault="001B60C5" w:rsidP="00332D02">
      <w:pPr>
        <w:widowControl w:val="0"/>
        <w:autoSpaceDE w:val="0"/>
        <w:autoSpaceDN w:val="0"/>
        <w:adjustRightInd w:val="0"/>
        <w:spacing w:after="40" w:line="240" w:lineRule="exact"/>
        <w:ind w:left="284" w:hanging="284"/>
        <w:jc w:val="both"/>
        <w:rPr>
          <w:b/>
        </w:rPr>
      </w:pPr>
    </w:p>
    <w:sectPr w:rsidR="001B60C5" w:rsidRPr="005A1397"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18371" w14:textId="77777777" w:rsidR="00AF2169" w:rsidRDefault="00AF2169" w:rsidP="001A3B3D">
      <w:r>
        <w:separator/>
      </w:r>
    </w:p>
  </w:endnote>
  <w:endnote w:type="continuationSeparator" w:id="0">
    <w:p w14:paraId="11DC80BA" w14:textId="77777777" w:rsidR="00AF2169" w:rsidRDefault="00AF2169"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2FC5EB" w14:textId="22E02B4B" w:rsidR="008A254E" w:rsidRPr="00B17147" w:rsidRDefault="008A254E" w:rsidP="008A254E">
    <w:pPr>
      <w:pStyle w:val="Footer"/>
      <w:jc w:val="right"/>
    </w:pPr>
    <w:r w:rsidRPr="00D91B44">
      <w:rPr>
        <w:sz w:val="22"/>
        <w:szCs w:val="22"/>
      </w:rPr>
      <w:fldChar w:fldCharType="begin"/>
    </w:r>
    <w:r w:rsidRPr="00D91B44">
      <w:rPr>
        <w:sz w:val="22"/>
        <w:szCs w:val="22"/>
      </w:rPr>
      <w:instrText>PAGE   \* MERGEFORMAT</w:instrText>
    </w:r>
    <w:r w:rsidRPr="00D91B44">
      <w:rPr>
        <w:sz w:val="22"/>
        <w:szCs w:val="22"/>
      </w:rPr>
      <w:fldChar w:fldCharType="separate"/>
    </w:r>
    <w:r>
      <w:rPr>
        <w:sz w:val="22"/>
        <w:szCs w:val="22"/>
      </w:rPr>
      <w:t>1</w:t>
    </w:r>
    <w:r w:rsidRPr="00D91B44">
      <w:rPr>
        <w:sz w:val="22"/>
        <w:szCs w:val="22"/>
      </w:rPr>
      <w:fldChar w:fldCharType="end"/>
    </w:r>
    <w:r w:rsidRPr="00D91B44">
      <w:rPr>
        <w:sz w:val="22"/>
        <w:szCs w:val="22"/>
        <w:lang w:val="id-ID"/>
      </w:rPr>
      <w:t xml:space="preserve"> │ BEST, Vol. 0</w:t>
    </w:r>
    <w:r w:rsidR="00B17147">
      <w:rPr>
        <w:sz w:val="22"/>
        <w:szCs w:val="22"/>
      </w:rPr>
      <w:t>5</w:t>
    </w:r>
    <w:r w:rsidRPr="00D91B44">
      <w:rPr>
        <w:sz w:val="22"/>
        <w:szCs w:val="22"/>
        <w:lang w:val="id-ID"/>
      </w:rPr>
      <w:t>, No. 0</w:t>
    </w:r>
    <w:r>
      <w:rPr>
        <w:sz w:val="22"/>
        <w:szCs w:val="22"/>
        <w:lang w:val="id-ID"/>
      </w:rPr>
      <w:t>1</w:t>
    </w:r>
    <w:r w:rsidRPr="00D91B44">
      <w:rPr>
        <w:sz w:val="22"/>
        <w:szCs w:val="22"/>
        <w:lang w:val="id-ID"/>
      </w:rPr>
      <w:t>, 202</w:t>
    </w:r>
    <w:r w:rsidR="00B17147">
      <w:rPr>
        <w:sz w:val="22"/>
        <w:szCs w:val="22"/>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259FD" w14:textId="7CA8A475" w:rsidR="0047647E" w:rsidRPr="00EE6969" w:rsidRDefault="008A254E" w:rsidP="008A254E">
    <w:pPr>
      <w:pStyle w:val="Footer"/>
      <w:jc w:val="right"/>
      <w:rPr>
        <w:sz w:val="22"/>
        <w:szCs w:val="22"/>
      </w:rPr>
    </w:pPr>
    <w:r w:rsidRPr="00D91B44">
      <w:rPr>
        <w:sz w:val="22"/>
        <w:szCs w:val="22"/>
      </w:rPr>
      <w:fldChar w:fldCharType="begin"/>
    </w:r>
    <w:r w:rsidRPr="00D91B44">
      <w:rPr>
        <w:sz w:val="22"/>
        <w:szCs w:val="22"/>
      </w:rPr>
      <w:instrText>PAGE   \* MERGEFORMAT</w:instrText>
    </w:r>
    <w:r w:rsidRPr="00D91B44">
      <w:rPr>
        <w:sz w:val="22"/>
        <w:szCs w:val="22"/>
      </w:rPr>
      <w:fldChar w:fldCharType="separate"/>
    </w:r>
    <w:r>
      <w:rPr>
        <w:sz w:val="22"/>
        <w:szCs w:val="22"/>
      </w:rPr>
      <w:t>1</w:t>
    </w:r>
    <w:r w:rsidRPr="00D91B44">
      <w:rPr>
        <w:sz w:val="22"/>
        <w:szCs w:val="22"/>
      </w:rPr>
      <w:fldChar w:fldCharType="end"/>
    </w:r>
    <w:r w:rsidRPr="00D91B44">
      <w:rPr>
        <w:sz w:val="22"/>
        <w:szCs w:val="22"/>
        <w:lang w:val="id-ID"/>
      </w:rPr>
      <w:t xml:space="preserve"> │ BEST, Vol. 0</w:t>
    </w:r>
    <w:r w:rsidR="00EE6969">
      <w:rPr>
        <w:sz w:val="22"/>
        <w:szCs w:val="22"/>
      </w:rPr>
      <w:t>5</w:t>
    </w:r>
    <w:r w:rsidRPr="00D91B44">
      <w:rPr>
        <w:sz w:val="22"/>
        <w:szCs w:val="22"/>
        <w:lang w:val="id-ID"/>
      </w:rPr>
      <w:t>, No. 0</w:t>
    </w:r>
    <w:r>
      <w:rPr>
        <w:sz w:val="22"/>
        <w:szCs w:val="22"/>
        <w:lang w:val="id-ID"/>
      </w:rPr>
      <w:t>1</w:t>
    </w:r>
    <w:r w:rsidRPr="00D91B44">
      <w:rPr>
        <w:sz w:val="22"/>
        <w:szCs w:val="22"/>
        <w:lang w:val="id-ID"/>
      </w:rPr>
      <w:t>, 202</w:t>
    </w:r>
    <w:r w:rsidR="00EE6969">
      <w:rPr>
        <w:sz w:val="22"/>
        <w:szCs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50F45" w14:textId="77777777" w:rsidR="00AF2169" w:rsidRDefault="00AF2169" w:rsidP="001A3B3D">
      <w:r>
        <w:separator/>
      </w:r>
    </w:p>
  </w:footnote>
  <w:footnote w:type="continuationSeparator" w:id="0">
    <w:p w14:paraId="4C5D6B96" w14:textId="77777777" w:rsidR="00AF2169" w:rsidRDefault="00AF2169"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2D34F" w14:textId="77777777" w:rsidR="008A254E" w:rsidRPr="00430B4E" w:rsidRDefault="008A254E" w:rsidP="008A254E">
    <w:pPr>
      <w:pStyle w:val="Header"/>
      <w:jc w:val="both"/>
      <w:rPr>
        <w:sz w:val="22"/>
        <w:szCs w:val="22"/>
        <w:lang w:val="id-ID"/>
      </w:rPr>
    </w:pPr>
    <w:r w:rsidRPr="00430B4E">
      <w:rPr>
        <w:sz w:val="22"/>
        <w:szCs w:val="22"/>
        <w:lang w:val="id-ID"/>
      </w:rPr>
      <w:t>BEST</w:t>
    </w:r>
  </w:p>
  <w:p w14:paraId="75F147A7" w14:textId="77777777" w:rsidR="008A254E" w:rsidRPr="00430B4E" w:rsidRDefault="008A254E" w:rsidP="008A254E">
    <w:pPr>
      <w:pStyle w:val="Header"/>
      <w:jc w:val="both"/>
      <w:rPr>
        <w:sz w:val="22"/>
        <w:szCs w:val="22"/>
        <w:lang w:val="id-ID"/>
      </w:rPr>
    </w:pPr>
    <w:r w:rsidRPr="00430B4E">
      <w:rPr>
        <w:sz w:val="22"/>
        <w:szCs w:val="22"/>
        <w:lang w:val="id-ID"/>
      </w:rPr>
      <w:t>Journal of Applied Electrical &amp; Science Technology – University of PGRI Adi Buana Surabaya</w:t>
    </w:r>
  </w:p>
  <w:p w14:paraId="4456B639" w14:textId="77777777" w:rsidR="008A254E" w:rsidRPr="00430B4E" w:rsidRDefault="008A254E" w:rsidP="008A254E">
    <w:pPr>
      <w:shd w:val="clear" w:color="auto" w:fill="FFFFFF"/>
      <w:ind w:left="7938"/>
      <w:jc w:val="left"/>
      <w:rPr>
        <w:rFonts w:eastAsia="Times New Roman"/>
        <w:sz w:val="22"/>
        <w:szCs w:val="22"/>
        <w:lang w:val="id-ID" w:eastAsia="id-ID"/>
      </w:rPr>
    </w:pPr>
    <w:r w:rsidRPr="00430B4E">
      <w:rPr>
        <w:rFonts w:eastAsia="Times New Roman"/>
        <w:sz w:val="22"/>
        <w:szCs w:val="22"/>
        <w:lang w:val="id-ID" w:eastAsia="id-ID"/>
      </w:rPr>
      <w:t xml:space="preserve">p-ISSN 2715-2871 </w:t>
    </w:r>
  </w:p>
  <w:p w14:paraId="4D99798E" w14:textId="77777777" w:rsidR="008A254E" w:rsidRDefault="008A254E" w:rsidP="008A254E">
    <w:pPr>
      <w:pStyle w:val="Header"/>
      <w:ind w:left="7938"/>
      <w:jc w:val="both"/>
    </w:pPr>
    <w:r w:rsidRPr="00430B4E">
      <w:rPr>
        <w:rFonts w:eastAsia="Times New Roman"/>
        <w:sz w:val="22"/>
        <w:szCs w:val="22"/>
        <w:lang w:val="id-ID" w:eastAsia="id-ID"/>
      </w:rPr>
      <w:t>e-ISSN 2714-5247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942B7" w14:textId="77777777" w:rsidR="008A254E" w:rsidRPr="005A1397" w:rsidRDefault="008A254E" w:rsidP="008A254E">
    <w:pPr>
      <w:pStyle w:val="Header"/>
      <w:jc w:val="both"/>
      <w:rPr>
        <w:sz w:val="22"/>
        <w:szCs w:val="22"/>
      </w:rPr>
    </w:pPr>
    <w:r w:rsidRPr="005A1397">
      <w:rPr>
        <w:sz w:val="22"/>
        <w:szCs w:val="22"/>
      </w:rPr>
      <w:t>BEST</w:t>
    </w:r>
  </w:p>
  <w:p w14:paraId="479143D7" w14:textId="77777777" w:rsidR="008A254E" w:rsidRPr="005A1397" w:rsidRDefault="008A254E" w:rsidP="008A254E">
    <w:pPr>
      <w:pStyle w:val="Header"/>
      <w:jc w:val="both"/>
      <w:rPr>
        <w:sz w:val="22"/>
        <w:szCs w:val="22"/>
      </w:rPr>
    </w:pPr>
    <w:r w:rsidRPr="005A1397">
      <w:rPr>
        <w:sz w:val="22"/>
        <w:szCs w:val="22"/>
      </w:rPr>
      <w:t>Journal of Applied Electrical &amp; Science Technology – University of PGRI Adi Buana Surabaya</w:t>
    </w:r>
  </w:p>
  <w:p w14:paraId="2AE47562" w14:textId="77777777" w:rsidR="008A254E" w:rsidRPr="005A1397" w:rsidRDefault="008A254E" w:rsidP="008A254E">
    <w:pPr>
      <w:shd w:val="clear" w:color="auto" w:fill="FFFFFF"/>
      <w:ind w:left="7938"/>
      <w:jc w:val="left"/>
      <w:rPr>
        <w:rFonts w:eastAsia="Times New Roman"/>
        <w:sz w:val="22"/>
        <w:szCs w:val="22"/>
        <w:lang w:eastAsia="id-ID"/>
      </w:rPr>
    </w:pPr>
    <w:r w:rsidRPr="005A1397">
      <w:rPr>
        <w:rFonts w:eastAsia="Times New Roman"/>
        <w:sz w:val="22"/>
        <w:szCs w:val="22"/>
        <w:lang w:eastAsia="id-ID"/>
      </w:rPr>
      <w:t xml:space="preserve">p-ISSN 2715-2871 </w:t>
    </w:r>
  </w:p>
  <w:p w14:paraId="1978081F" w14:textId="77777777" w:rsidR="008A254E" w:rsidRPr="005A1397" w:rsidRDefault="008A254E" w:rsidP="008A254E">
    <w:pPr>
      <w:pStyle w:val="Header"/>
      <w:ind w:left="7938"/>
      <w:jc w:val="left"/>
    </w:pPr>
    <w:r w:rsidRPr="005A1397">
      <w:rPr>
        <w:rFonts w:eastAsia="Times New Roman"/>
        <w:sz w:val="22"/>
        <w:szCs w:val="22"/>
        <w:lang w:eastAsia="id-ID"/>
      </w:rPr>
      <w:t>e-ISSN 2714-5247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36CE9E"/>
    <w:lvl w:ilvl="0">
      <w:start w:val="1"/>
      <w:numFmt w:val="bullet"/>
      <w:lvlText w:val=""/>
      <w:lvlJc w:val="left"/>
      <w:pPr>
        <w:tabs>
          <w:tab w:val="num" w:pos="1080"/>
        </w:tabs>
        <w:ind w:left="1080" w:firstLine="0"/>
      </w:pPr>
      <w:rPr>
        <w:rFonts w:ascii="Symbol" w:hAnsi="Symbol" w:hint="default"/>
      </w:rPr>
    </w:lvl>
    <w:lvl w:ilvl="1">
      <w:start w:val="1"/>
      <w:numFmt w:val="bullet"/>
      <w:lvlText w:val=""/>
      <w:lvlJc w:val="left"/>
      <w:pPr>
        <w:tabs>
          <w:tab w:val="num" w:pos="1800"/>
        </w:tabs>
        <w:ind w:left="2160" w:hanging="360"/>
      </w:pPr>
      <w:rPr>
        <w:rFonts w:ascii="Symbol" w:hAnsi="Symbol" w:hint="default"/>
      </w:rPr>
    </w:lvl>
    <w:lvl w:ilvl="2">
      <w:start w:val="1"/>
      <w:numFmt w:val="bullet"/>
      <w:lvlText w:val="o"/>
      <w:lvlJc w:val="left"/>
      <w:pPr>
        <w:tabs>
          <w:tab w:val="num" w:pos="2520"/>
        </w:tabs>
        <w:ind w:left="2880" w:hanging="360"/>
      </w:pPr>
      <w:rPr>
        <w:rFonts w:ascii="Courier New" w:hAnsi="Courier New" w:cs="Courier New" w:hint="default"/>
      </w:rPr>
    </w:lvl>
    <w:lvl w:ilvl="3">
      <w:start w:val="1"/>
      <w:numFmt w:val="bullet"/>
      <w:lvlText w:val=""/>
      <w:lvlJc w:val="left"/>
      <w:pPr>
        <w:tabs>
          <w:tab w:val="num" w:pos="3240"/>
        </w:tabs>
        <w:ind w:left="3600" w:hanging="360"/>
      </w:pPr>
      <w:rPr>
        <w:rFonts w:ascii="Wingdings" w:hAnsi="Wingdings" w:hint="default"/>
      </w:rPr>
    </w:lvl>
    <w:lvl w:ilvl="4">
      <w:start w:val="1"/>
      <w:numFmt w:val="bullet"/>
      <w:lvlText w:val=""/>
      <w:lvlJc w:val="left"/>
      <w:pPr>
        <w:tabs>
          <w:tab w:val="num" w:pos="3960"/>
        </w:tabs>
        <w:ind w:left="4320" w:hanging="360"/>
      </w:pPr>
      <w:rPr>
        <w:rFonts w:ascii="Wingdings" w:hAnsi="Wingdings" w:hint="default"/>
      </w:rPr>
    </w:lvl>
    <w:lvl w:ilvl="5">
      <w:start w:val="1"/>
      <w:numFmt w:val="bullet"/>
      <w:lvlText w:val=""/>
      <w:lvlJc w:val="left"/>
      <w:pPr>
        <w:tabs>
          <w:tab w:val="num" w:pos="4680"/>
        </w:tabs>
        <w:ind w:left="5040" w:hanging="360"/>
      </w:pPr>
      <w:rPr>
        <w:rFonts w:ascii="Symbol" w:hAnsi="Symbol" w:hint="default"/>
      </w:rPr>
    </w:lvl>
    <w:lvl w:ilvl="6">
      <w:start w:val="1"/>
      <w:numFmt w:val="bullet"/>
      <w:lvlText w:val="o"/>
      <w:lvlJc w:val="left"/>
      <w:pPr>
        <w:tabs>
          <w:tab w:val="num" w:pos="5400"/>
        </w:tabs>
        <w:ind w:left="5760" w:hanging="360"/>
      </w:pPr>
      <w:rPr>
        <w:rFonts w:ascii="Courier New" w:hAnsi="Courier New" w:cs="Courier New" w:hint="default"/>
      </w:rPr>
    </w:lvl>
    <w:lvl w:ilvl="7">
      <w:start w:val="1"/>
      <w:numFmt w:val="bullet"/>
      <w:lvlText w:val=""/>
      <w:lvlJc w:val="left"/>
      <w:pPr>
        <w:tabs>
          <w:tab w:val="num" w:pos="6120"/>
        </w:tabs>
        <w:ind w:left="6480" w:hanging="360"/>
      </w:pPr>
      <w:rPr>
        <w:rFonts w:ascii="Wingdings" w:hAnsi="Wingdings" w:hint="default"/>
      </w:rPr>
    </w:lvl>
    <w:lvl w:ilvl="8">
      <w:start w:val="1"/>
      <w:numFmt w:val="bullet"/>
      <w:lvlText w:val=""/>
      <w:lvlJc w:val="left"/>
      <w:pPr>
        <w:tabs>
          <w:tab w:val="num" w:pos="6840"/>
        </w:tabs>
        <w:ind w:left="7200" w:hanging="360"/>
      </w:pPr>
      <w:rPr>
        <w:rFonts w:ascii="Wingdings" w:hAnsi="Wingdings" w:hint="default"/>
      </w:rPr>
    </w:lvl>
  </w:abstractNum>
  <w:abstractNum w:abstractNumId="1" w15:restartNumberingAfterBreak="0">
    <w:nsid w:val="FFFFFF7C"/>
    <w:multiLevelType w:val="singleLevel"/>
    <w:tmpl w:val="0ED2FB0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1F294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4B6DC2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10EAF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4E632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6B40C6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E02825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26ADCA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AAA2DB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6688C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84D64F3"/>
    <w:multiLevelType w:val="hybridMultilevel"/>
    <w:tmpl w:val="0C124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0C9ACD10"/>
    <w:lvl w:ilvl="0" w:tplc="D77654F0">
      <w:start w:val="2"/>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5"/>
  </w:num>
  <w:num w:numId="2">
    <w:abstractNumId w:val="20"/>
  </w:num>
  <w:num w:numId="3">
    <w:abstractNumId w:val="14"/>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3"/>
  </w:num>
  <w:num w:numId="12">
    <w:abstractNumId w:val="12"/>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15E9"/>
    <w:rsid w:val="00020FAF"/>
    <w:rsid w:val="00023DA2"/>
    <w:rsid w:val="00026BFC"/>
    <w:rsid w:val="00046778"/>
    <w:rsid w:val="0004781E"/>
    <w:rsid w:val="000675F2"/>
    <w:rsid w:val="0008758A"/>
    <w:rsid w:val="000A2FC9"/>
    <w:rsid w:val="000C1E68"/>
    <w:rsid w:val="001436FE"/>
    <w:rsid w:val="00181BBC"/>
    <w:rsid w:val="00186E7B"/>
    <w:rsid w:val="001974AD"/>
    <w:rsid w:val="001A2EFD"/>
    <w:rsid w:val="001A3B3D"/>
    <w:rsid w:val="001B4314"/>
    <w:rsid w:val="001B60C5"/>
    <w:rsid w:val="001B67DC"/>
    <w:rsid w:val="001D68A7"/>
    <w:rsid w:val="0020775B"/>
    <w:rsid w:val="00220838"/>
    <w:rsid w:val="002254A9"/>
    <w:rsid w:val="00233D97"/>
    <w:rsid w:val="002347A2"/>
    <w:rsid w:val="002850E3"/>
    <w:rsid w:val="002B1C89"/>
    <w:rsid w:val="002C6FCE"/>
    <w:rsid w:val="00330996"/>
    <w:rsid w:val="00330F16"/>
    <w:rsid w:val="00332D02"/>
    <w:rsid w:val="00354FCF"/>
    <w:rsid w:val="00376FD8"/>
    <w:rsid w:val="003814A6"/>
    <w:rsid w:val="00395A8F"/>
    <w:rsid w:val="003A19E2"/>
    <w:rsid w:val="003B2640"/>
    <w:rsid w:val="003B4E04"/>
    <w:rsid w:val="003F0AFC"/>
    <w:rsid w:val="003F31A1"/>
    <w:rsid w:val="003F5A08"/>
    <w:rsid w:val="00420716"/>
    <w:rsid w:val="004325FB"/>
    <w:rsid w:val="00442929"/>
    <w:rsid w:val="004432BA"/>
    <w:rsid w:val="0044407E"/>
    <w:rsid w:val="00444B45"/>
    <w:rsid w:val="00447BB9"/>
    <w:rsid w:val="00453F26"/>
    <w:rsid w:val="0046031D"/>
    <w:rsid w:val="0047647E"/>
    <w:rsid w:val="004842D4"/>
    <w:rsid w:val="004A6486"/>
    <w:rsid w:val="004D72B5"/>
    <w:rsid w:val="00507111"/>
    <w:rsid w:val="005343F4"/>
    <w:rsid w:val="005411C6"/>
    <w:rsid w:val="00551B7F"/>
    <w:rsid w:val="0056610F"/>
    <w:rsid w:val="00575BCA"/>
    <w:rsid w:val="005A1397"/>
    <w:rsid w:val="005B0344"/>
    <w:rsid w:val="005B2A2D"/>
    <w:rsid w:val="005B520E"/>
    <w:rsid w:val="005E2800"/>
    <w:rsid w:val="00605825"/>
    <w:rsid w:val="006125E3"/>
    <w:rsid w:val="00614185"/>
    <w:rsid w:val="0062195A"/>
    <w:rsid w:val="00645D22"/>
    <w:rsid w:val="00651A08"/>
    <w:rsid w:val="00654204"/>
    <w:rsid w:val="00670434"/>
    <w:rsid w:val="00673954"/>
    <w:rsid w:val="00683D85"/>
    <w:rsid w:val="006B0414"/>
    <w:rsid w:val="006B6B66"/>
    <w:rsid w:val="006F6D3D"/>
    <w:rsid w:val="00701474"/>
    <w:rsid w:val="007112E6"/>
    <w:rsid w:val="007124D4"/>
    <w:rsid w:val="00715BEA"/>
    <w:rsid w:val="0072067C"/>
    <w:rsid w:val="0074071F"/>
    <w:rsid w:val="00740EEA"/>
    <w:rsid w:val="00753FF0"/>
    <w:rsid w:val="00756F32"/>
    <w:rsid w:val="00757F70"/>
    <w:rsid w:val="0079443F"/>
    <w:rsid w:val="00794804"/>
    <w:rsid w:val="007B2C7D"/>
    <w:rsid w:val="007B33F1"/>
    <w:rsid w:val="007B6DDA"/>
    <w:rsid w:val="007C0308"/>
    <w:rsid w:val="007C0907"/>
    <w:rsid w:val="007C1DBF"/>
    <w:rsid w:val="007C2FF2"/>
    <w:rsid w:val="007D6232"/>
    <w:rsid w:val="007D77D0"/>
    <w:rsid w:val="007F1F99"/>
    <w:rsid w:val="007F768F"/>
    <w:rsid w:val="0080251A"/>
    <w:rsid w:val="00803AA3"/>
    <w:rsid w:val="0080791D"/>
    <w:rsid w:val="00836367"/>
    <w:rsid w:val="008416A7"/>
    <w:rsid w:val="00841C72"/>
    <w:rsid w:val="00873603"/>
    <w:rsid w:val="008A254E"/>
    <w:rsid w:val="008A2C7D"/>
    <w:rsid w:val="008A6FE6"/>
    <w:rsid w:val="008C4B23"/>
    <w:rsid w:val="008E5B2D"/>
    <w:rsid w:val="008F6E2C"/>
    <w:rsid w:val="009003D4"/>
    <w:rsid w:val="009303D9"/>
    <w:rsid w:val="00933C64"/>
    <w:rsid w:val="00972203"/>
    <w:rsid w:val="009904AE"/>
    <w:rsid w:val="009A7BB7"/>
    <w:rsid w:val="009F1D79"/>
    <w:rsid w:val="00A059B3"/>
    <w:rsid w:val="00A1194D"/>
    <w:rsid w:val="00A64AF3"/>
    <w:rsid w:val="00A86525"/>
    <w:rsid w:val="00AC241B"/>
    <w:rsid w:val="00AC3BF9"/>
    <w:rsid w:val="00AD2537"/>
    <w:rsid w:val="00AD2708"/>
    <w:rsid w:val="00AE3409"/>
    <w:rsid w:val="00AF2169"/>
    <w:rsid w:val="00B11A60"/>
    <w:rsid w:val="00B17147"/>
    <w:rsid w:val="00B22613"/>
    <w:rsid w:val="00B24598"/>
    <w:rsid w:val="00B56480"/>
    <w:rsid w:val="00B768D1"/>
    <w:rsid w:val="00B826F7"/>
    <w:rsid w:val="00BA1025"/>
    <w:rsid w:val="00BB5303"/>
    <w:rsid w:val="00BB6FDB"/>
    <w:rsid w:val="00BC1997"/>
    <w:rsid w:val="00BC3420"/>
    <w:rsid w:val="00BD670B"/>
    <w:rsid w:val="00BE7D3C"/>
    <w:rsid w:val="00BE7E74"/>
    <w:rsid w:val="00BF5FF6"/>
    <w:rsid w:val="00C0207F"/>
    <w:rsid w:val="00C16117"/>
    <w:rsid w:val="00C3075A"/>
    <w:rsid w:val="00C30FF1"/>
    <w:rsid w:val="00C836BC"/>
    <w:rsid w:val="00C919A4"/>
    <w:rsid w:val="00CA4392"/>
    <w:rsid w:val="00CB223C"/>
    <w:rsid w:val="00CC393F"/>
    <w:rsid w:val="00CE758D"/>
    <w:rsid w:val="00CF2011"/>
    <w:rsid w:val="00D10A93"/>
    <w:rsid w:val="00D17807"/>
    <w:rsid w:val="00D2151E"/>
    <w:rsid w:val="00D2176E"/>
    <w:rsid w:val="00D230F6"/>
    <w:rsid w:val="00D24F17"/>
    <w:rsid w:val="00D632BE"/>
    <w:rsid w:val="00D67B14"/>
    <w:rsid w:val="00D72D06"/>
    <w:rsid w:val="00D7522C"/>
    <w:rsid w:val="00D7536F"/>
    <w:rsid w:val="00D76668"/>
    <w:rsid w:val="00D86B45"/>
    <w:rsid w:val="00D902A1"/>
    <w:rsid w:val="00E00E3B"/>
    <w:rsid w:val="00E07383"/>
    <w:rsid w:val="00E165BC"/>
    <w:rsid w:val="00E31DA4"/>
    <w:rsid w:val="00E327AE"/>
    <w:rsid w:val="00E53EE7"/>
    <w:rsid w:val="00E61E12"/>
    <w:rsid w:val="00E7596C"/>
    <w:rsid w:val="00E878F2"/>
    <w:rsid w:val="00E9429C"/>
    <w:rsid w:val="00ED0149"/>
    <w:rsid w:val="00EE6969"/>
    <w:rsid w:val="00EF7DE3"/>
    <w:rsid w:val="00F03103"/>
    <w:rsid w:val="00F271DE"/>
    <w:rsid w:val="00F627DA"/>
    <w:rsid w:val="00F7288F"/>
    <w:rsid w:val="00F847A6"/>
    <w:rsid w:val="00F9441B"/>
    <w:rsid w:val="00FA4C32"/>
    <w:rsid w:val="00FB21F3"/>
    <w:rsid w:val="00FB631E"/>
    <w:rsid w:val="00FC572C"/>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90EFE"/>
  <w15:chartTrackingRefBased/>
  <w15:docId w15:val="{0920C879-7B8F-4776-A247-2DF48BA7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BalloonText">
    <w:name w:val="Balloon Text"/>
    <w:basedOn w:val="Normal"/>
    <w:link w:val="BalloonTextChar"/>
    <w:rsid w:val="001436FE"/>
    <w:rPr>
      <w:rFonts w:ascii="Segoe UI" w:hAnsi="Segoe UI" w:cs="Segoe UI"/>
      <w:sz w:val="18"/>
      <w:szCs w:val="18"/>
    </w:rPr>
  </w:style>
  <w:style w:type="character" w:customStyle="1" w:styleId="BalloonTextChar">
    <w:name w:val="Balloon Text Char"/>
    <w:link w:val="BalloonText"/>
    <w:rsid w:val="001436FE"/>
    <w:rPr>
      <w:rFonts w:ascii="Segoe UI" w:hAnsi="Segoe UI" w:cs="Segoe UI"/>
      <w:sz w:val="18"/>
      <w:szCs w:val="18"/>
      <w:lang w:val="en-US" w:eastAsia="en-US"/>
    </w:rPr>
  </w:style>
  <w:style w:type="paragraph" w:styleId="Caption">
    <w:name w:val="caption"/>
    <w:basedOn w:val="Normal"/>
    <w:next w:val="Normal"/>
    <w:unhideWhenUsed/>
    <w:qFormat/>
    <w:rsid w:val="00D10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028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chart" Target="charts/chart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enelitian\Pengaruh%20wavelet%20radiomic%20features\NoisediCitra\ICC%20data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enelitian\Pengaruh%20wavelet%20radiomic%20features\NoisediCitra\ICC%20data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Penelitian\Pengaruh%20wavelet%20radiomic%20features\NoisediCitra\ICC%20data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Penelitian\Pengaruh%20wavelet%20radiomic%20features\NoisediCitra\ICC%20data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SNR</a:t>
            </a:r>
            <a:r>
              <a:rPr lang="en-US" baseline="0"/>
              <a:t> 30%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'db1'!$C$1</c:f>
              <c:strCache>
                <c:ptCount val="1"/>
                <c:pt idx="0">
                  <c:v>Original</c:v>
                </c:pt>
              </c:strCache>
            </c:strRef>
          </c:tx>
          <c:spPr>
            <a:solidFill>
              <a:schemeClr val="accent1"/>
            </a:solidFill>
            <a:ln>
              <a:noFill/>
            </a:ln>
            <a:effectLst/>
          </c:spPr>
          <c:invertIfNegative val="0"/>
          <c:cat>
            <c:strRef>
              <c:f>'db1'!$B$2:$B$7</c:f>
              <c:strCache>
                <c:ptCount val="6"/>
                <c:pt idx="0">
                  <c:v>firstorder</c:v>
                </c:pt>
                <c:pt idx="1">
                  <c:v>GLCM</c:v>
                </c:pt>
                <c:pt idx="2">
                  <c:v>GLRLM</c:v>
                </c:pt>
                <c:pt idx="3">
                  <c:v>GLSZM</c:v>
                </c:pt>
                <c:pt idx="4">
                  <c:v>GLDM</c:v>
                </c:pt>
                <c:pt idx="5">
                  <c:v>NGTDM </c:v>
                </c:pt>
              </c:strCache>
            </c:strRef>
          </c:cat>
          <c:val>
            <c:numRef>
              <c:f>'db1'!$C$2:$C$7</c:f>
              <c:numCache>
                <c:formatCode>General</c:formatCode>
                <c:ptCount val="6"/>
                <c:pt idx="0">
                  <c:v>0.55714711861626498</c:v>
                </c:pt>
                <c:pt idx="1">
                  <c:v>0.96176764559460404</c:v>
                </c:pt>
                <c:pt idx="2">
                  <c:v>0.56345020995782802</c:v>
                </c:pt>
                <c:pt idx="3">
                  <c:v>0.67234461424385294</c:v>
                </c:pt>
                <c:pt idx="4">
                  <c:v>0.59937903923444402</c:v>
                </c:pt>
                <c:pt idx="5">
                  <c:v>0.764104394665992</c:v>
                </c:pt>
              </c:numCache>
            </c:numRef>
          </c:val>
          <c:extLst>
            <c:ext xmlns:c16="http://schemas.microsoft.com/office/drawing/2014/chart" uri="{C3380CC4-5D6E-409C-BE32-E72D297353CC}">
              <c16:uniqueId val="{00000000-4AAA-4272-A7F0-0366CF0DE8F8}"/>
            </c:ext>
          </c:extLst>
        </c:ser>
        <c:ser>
          <c:idx val="1"/>
          <c:order val="1"/>
          <c:tx>
            <c:strRef>
              <c:f>'db1'!$D$1</c:f>
              <c:strCache>
                <c:ptCount val="1"/>
                <c:pt idx="0">
                  <c:v>Daubechies wavelet</c:v>
                </c:pt>
              </c:strCache>
            </c:strRef>
          </c:tx>
          <c:spPr>
            <a:solidFill>
              <a:schemeClr val="accent2"/>
            </a:solidFill>
            <a:ln>
              <a:noFill/>
            </a:ln>
            <a:effectLst/>
          </c:spPr>
          <c:invertIfNegative val="0"/>
          <c:cat>
            <c:strRef>
              <c:f>'db1'!$B$2:$B$7</c:f>
              <c:strCache>
                <c:ptCount val="6"/>
                <c:pt idx="0">
                  <c:v>firstorder</c:v>
                </c:pt>
                <c:pt idx="1">
                  <c:v>GLCM</c:v>
                </c:pt>
                <c:pt idx="2">
                  <c:v>GLRLM</c:v>
                </c:pt>
                <c:pt idx="3">
                  <c:v>GLSZM</c:v>
                </c:pt>
                <c:pt idx="4">
                  <c:v>GLDM</c:v>
                </c:pt>
                <c:pt idx="5">
                  <c:v>NGTDM </c:v>
                </c:pt>
              </c:strCache>
            </c:strRef>
          </c:cat>
          <c:val>
            <c:numRef>
              <c:f>'db1'!$D$2:$D$7</c:f>
              <c:numCache>
                <c:formatCode>General</c:formatCode>
                <c:ptCount val="6"/>
                <c:pt idx="0">
                  <c:v>0.54610494511283403</c:v>
                </c:pt>
                <c:pt idx="1">
                  <c:v>0.94647780548799099</c:v>
                </c:pt>
                <c:pt idx="2">
                  <c:v>0.55653044097186</c:v>
                </c:pt>
                <c:pt idx="3">
                  <c:v>0.68091748170292099</c:v>
                </c:pt>
                <c:pt idx="4">
                  <c:v>0.59148630267501301</c:v>
                </c:pt>
                <c:pt idx="5">
                  <c:v>0.95095078847786596</c:v>
                </c:pt>
              </c:numCache>
            </c:numRef>
          </c:val>
          <c:extLst>
            <c:ext xmlns:c16="http://schemas.microsoft.com/office/drawing/2014/chart" uri="{C3380CC4-5D6E-409C-BE32-E72D297353CC}">
              <c16:uniqueId val="{00000001-4AAA-4272-A7F0-0366CF0DE8F8}"/>
            </c:ext>
          </c:extLst>
        </c:ser>
        <c:dLbls>
          <c:showLegendKey val="0"/>
          <c:showVal val="0"/>
          <c:showCatName val="0"/>
          <c:showSerName val="0"/>
          <c:showPercent val="0"/>
          <c:showBubbleSize val="0"/>
        </c:dLbls>
        <c:gapWidth val="219"/>
        <c:overlap val="-27"/>
        <c:axId val="872142288"/>
        <c:axId val="866916640"/>
      </c:barChart>
      <c:dateAx>
        <c:axId val="872142288"/>
        <c:scaling>
          <c:orientation val="minMax"/>
        </c:scaling>
        <c:delete val="0"/>
        <c:axPos val="b"/>
        <c:numFmt formatCode="#,##0.00"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916640"/>
        <c:crosses val="autoZero"/>
        <c:auto val="0"/>
        <c:lblOffset val="1"/>
        <c:baseTimeUnit val="days"/>
      </c:dateAx>
      <c:valAx>
        <c:axId val="866916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142288"/>
        <c:crossesAt val="1"/>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SNR 50%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Original</c:v>
          </c:tx>
          <c:spPr>
            <a:solidFill>
              <a:schemeClr val="accent1"/>
            </a:solidFill>
            <a:ln>
              <a:noFill/>
            </a:ln>
            <a:effectLst/>
          </c:spPr>
          <c:invertIfNegative val="0"/>
          <c:cat>
            <c:strRef>
              <c:f>'db1'!$B$8:$B$13</c:f>
              <c:strCache>
                <c:ptCount val="6"/>
                <c:pt idx="0">
                  <c:v>firstorder</c:v>
                </c:pt>
                <c:pt idx="1">
                  <c:v>GLCM</c:v>
                </c:pt>
                <c:pt idx="2">
                  <c:v>GLRLM</c:v>
                </c:pt>
                <c:pt idx="3">
                  <c:v>GLSZM</c:v>
                </c:pt>
                <c:pt idx="4">
                  <c:v>GLDM</c:v>
                </c:pt>
                <c:pt idx="5">
                  <c:v>NGTDM </c:v>
                </c:pt>
              </c:strCache>
            </c:strRef>
          </c:cat>
          <c:val>
            <c:numRef>
              <c:f>'db1'!$C$8:$C$13</c:f>
              <c:numCache>
                <c:formatCode>General</c:formatCode>
                <c:ptCount val="6"/>
                <c:pt idx="0">
                  <c:v>0.55818398367063005</c:v>
                </c:pt>
                <c:pt idx="1">
                  <c:v>0.88362107107996901</c:v>
                </c:pt>
                <c:pt idx="2">
                  <c:v>0.56330676151092196</c:v>
                </c:pt>
                <c:pt idx="3">
                  <c:v>0.482505425806107</c:v>
                </c:pt>
                <c:pt idx="4">
                  <c:v>0.53166980243576201</c:v>
                </c:pt>
                <c:pt idx="5">
                  <c:v>0.67080399604941898</c:v>
                </c:pt>
              </c:numCache>
            </c:numRef>
          </c:val>
          <c:extLst>
            <c:ext xmlns:c16="http://schemas.microsoft.com/office/drawing/2014/chart" uri="{C3380CC4-5D6E-409C-BE32-E72D297353CC}">
              <c16:uniqueId val="{00000000-A278-4E2B-9E60-B36D025AD498}"/>
            </c:ext>
          </c:extLst>
        </c:ser>
        <c:ser>
          <c:idx val="1"/>
          <c:order val="1"/>
          <c:tx>
            <c:v>Daubechies wavelet</c:v>
          </c:tx>
          <c:spPr>
            <a:solidFill>
              <a:schemeClr val="accent2"/>
            </a:solidFill>
            <a:ln>
              <a:noFill/>
            </a:ln>
            <a:effectLst/>
          </c:spPr>
          <c:invertIfNegative val="0"/>
          <c:cat>
            <c:strRef>
              <c:f>'db1'!$B$8:$B$13</c:f>
              <c:strCache>
                <c:ptCount val="6"/>
                <c:pt idx="0">
                  <c:v>firstorder</c:v>
                </c:pt>
                <c:pt idx="1">
                  <c:v>GLCM</c:v>
                </c:pt>
                <c:pt idx="2">
                  <c:v>GLRLM</c:v>
                </c:pt>
                <c:pt idx="3">
                  <c:v>GLSZM</c:v>
                </c:pt>
                <c:pt idx="4">
                  <c:v>GLDM</c:v>
                </c:pt>
                <c:pt idx="5">
                  <c:v>NGTDM </c:v>
                </c:pt>
              </c:strCache>
            </c:strRef>
          </c:cat>
          <c:val>
            <c:numRef>
              <c:f>'db1'!$D$8:$D$13</c:f>
              <c:numCache>
                <c:formatCode>General</c:formatCode>
                <c:ptCount val="6"/>
                <c:pt idx="0">
                  <c:v>0.54901802778247999</c:v>
                </c:pt>
                <c:pt idx="1">
                  <c:v>0.84934694497661101</c:v>
                </c:pt>
                <c:pt idx="2">
                  <c:v>0.55778842178531096</c:v>
                </c:pt>
                <c:pt idx="3">
                  <c:v>0.59391151261406605</c:v>
                </c:pt>
                <c:pt idx="4">
                  <c:v>0.59575542187399599</c:v>
                </c:pt>
                <c:pt idx="5">
                  <c:v>0.90781613791967597</c:v>
                </c:pt>
              </c:numCache>
            </c:numRef>
          </c:val>
          <c:extLst>
            <c:ext xmlns:c16="http://schemas.microsoft.com/office/drawing/2014/chart" uri="{C3380CC4-5D6E-409C-BE32-E72D297353CC}">
              <c16:uniqueId val="{00000001-A278-4E2B-9E60-B36D025AD498}"/>
            </c:ext>
          </c:extLst>
        </c:ser>
        <c:dLbls>
          <c:showLegendKey val="0"/>
          <c:showVal val="0"/>
          <c:showCatName val="0"/>
          <c:showSerName val="0"/>
          <c:showPercent val="0"/>
          <c:showBubbleSize val="0"/>
        </c:dLbls>
        <c:gapWidth val="219"/>
        <c:overlap val="-27"/>
        <c:axId val="866450384"/>
        <c:axId val="866933696"/>
      </c:barChart>
      <c:catAx>
        <c:axId val="86645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933696"/>
        <c:crosses val="autoZero"/>
        <c:auto val="1"/>
        <c:lblAlgn val="ctr"/>
        <c:lblOffset val="100"/>
        <c:noMultiLvlLbl val="0"/>
      </c:catAx>
      <c:valAx>
        <c:axId val="866933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645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SNR 80%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Original</c:v>
          </c:tx>
          <c:spPr>
            <a:solidFill>
              <a:schemeClr val="accent1"/>
            </a:solidFill>
            <a:ln>
              <a:noFill/>
            </a:ln>
            <a:effectLst/>
          </c:spPr>
          <c:invertIfNegative val="0"/>
          <c:cat>
            <c:strRef>
              <c:f>'db1'!$B$14:$B$19</c:f>
              <c:strCache>
                <c:ptCount val="6"/>
                <c:pt idx="0">
                  <c:v>firstorder</c:v>
                </c:pt>
                <c:pt idx="1">
                  <c:v>GLCM</c:v>
                </c:pt>
                <c:pt idx="2">
                  <c:v>GLRLM</c:v>
                </c:pt>
                <c:pt idx="3">
                  <c:v>GLSZM</c:v>
                </c:pt>
                <c:pt idx="4">
                  <c:v>GLDM</c:v>
                </c:pt>
                <c:pt idx="5">
                  <c:v>NGTDM </c:v>
                </c:pt>
              </c:strCache>
            </c:strRef>
          </c:cat>
          <c:val>
            <c:numRef>
              <c:f>'db1'!$C$14:$C$19</c:f>
              <c:numCache>
                <c:formatCode>General</c:formatCode>
                <c:ptCount val="6"/>
                <c:pt idx="0">
                  <c:v>0.55908605979905801</c:v>
                </c:pt>
                <c:pt idx="1">
                  <c:v>0.70047848653362499</c:v>
                </c:pt>
                <c:pt idx="2">
                  <c:v>0.56703027059946398</c:v>
                </c:pt>
                <c:pt idx="3">
                  <c:v>0.47079898369529199</c:v>
                </c:pt>
                <c:pt idx="4">
                  <c:v>0.54249374094788505</c:v>
                </c:pt>
                <c:pt idx="5">
                  <c:v>0.65310425131387895</c:v>
                </c:pt>
              </c:numCache>
            </c:numRef>
          </c:val>
          <c:extLst>
            <c:ext xmlns:c16="http://schemas.microsoft.com/office/drawing/2014/chart" uri="{C3380CC4-5D6E-409C-BE32-E72D297353CC}">
              <c16:uniqueId val="{00000000-3D57-4561-9173-88112DC155EE}"/>
            </c:ext>
          </c:extLst>
        </c:ser>
        <c:ser>
          <c:idx val="1"/>
          <c:order val="1"/>
          <c:tx>
            <c:strRef>
              <c:f>'db1'!$D$1</c:f>
              <c:strCache>
                <c:ptCount val="1"/>
                <c:pt idx="0">
                  <c:v>Daubechies wavelet</c:v>
                </c:pt>
              </c:strCache>
            </c:strRef>
          </c:tx>
          <c:spPr>
            <a:solidFill>
              <a:schemeClr val="accent2"/>
            </a:solidFill>
            <a:ln>
              <a:noFill/>
            </a:ln>
            <a:effectLst/>
          </c:spPr>
          <c:invertIfNegative val="0"/>
          <c:cat>
            <c:strRef>
              <c:f>'db1'!$B$14:$B$19</c:f>
              <c:strCache>
                <c:ptCount val="6"/>
                <c:pt idx="0">
                  <c:v>firstorder</c:v>
                </c:pt>
                <c:pt idx="1">
                  <c:v>GLCM</c:v>
                </c:pt>
                <c:pt idx="2">
                  <c:v>GLRLM</c:v>
                </c:pt>
                <c:pt idx="3">
                  <c:v>GLSZM</c:v>
                </c:pt>
                <c:pt idx="4">
                  <c:v>GLDM</c:v>
                </c:pt>
                <c:pt idx="5">
                  <c:v>NGTDM </c:v>
                </c:pt>
              </c:strCache>
            </c:strRef>
          </c:cat>
          <c:val>
            <c:numRef>
              <c:f>'db1'!$D$14:$D$19</c:f>
              <c:numCache>
                <c:formatCode>General</c:formatCode>
                <c:ptCount val="6"/>
                <c:pt idx="0">
                  <c:v>0.54729719664951604</c:v>
                </c:pt>
                <c:pt idx="1">
                  <c:v>0.67132001906555405</c:v>
                </c:pt>
                <c:pt idx="2">
                  <c:v>0.55929182964695101</c:v>
                </c:pt>
                <c:pt idx="3">
                  <c:v>0.417651359663888</c:v>
                </c:pt>
                <c:pt idx="4">
                  <c:v>0.59123511530199202</c:v>
                </c:pt>
                <c:pt idx="5">
                  <c:v>0.80412434457610504</c:v>
                </c:pt>
              </c:numCache>
            </c:numRef>
          </c:val>
          <c:extLst>
            <c:ext xmlns:c16="http://schemas.microsoft.com/office/drawing/2014/chart" uri="{C3380CC4-5D6E-409C-BE32-E72D297353CC}">
              <c16:uniqueId val="{00000001-3D57-4561-9173-88112DC155EE}"/>
            </c:ext>
          </c:extLst>
        </c:ser>
        <c:dLbls>
          <c:showLegendKey val="0"/>
          <c:showVal val="0"/>
          <c:showCatName val="0"/>
          <c:showSerName val="0"/>
          <c:showPercent val="0"/>
          <c:showBubbleSize val="0"/>
        </c:dLbls>
        <c:gapWidth val="219"/>
        <c:overlap val="-27"/>
        <c:axId val="960254160"/>
        <c:axId val="871184496"/>
      </c:barChart>
      <c:catAx>
        <c:axId val="96025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184496"/>
        <c:crosses val="autoZero"/>
        <c:auto val="1"/>
        <c:lblAlgn val="ctr"/>
        <c:lblOffset val="100"/>
        <c:noMultiLvlLbl val="0"/>
      </c:catAx>
      <c:valAx>
        <c:axId val="871184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025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SNR 90%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'db1'!$C$1</c:f>
              <c:strCache>
                <c:ptCount val="1"/>
                <c:pt idx="0">
                  <c:v>Original</c:v>
                </c:pt>
              </c:strCache>
            </c:strRef>
          </c:tx>
          <c:spPr>
            <a:solidFill>
              <a:schemeClr val="accent1"/>
            </a:solidFill>
            <a:ln>
              <a:noFill/>
            </a:ln>
            <a:effectLst/>
          </c:spPr>
          <c:invertIfNegative val="0"/>
          <c:cat>
            <c:strRef>
              <c:f>'db1'!$B$20:$B$25</c:f>
              <c:strCache>
                <c:ptCount val="6"/>
                <c:pt idx="0">
                  <c:v>firstorder</c:v>
                </c:pt>
                <c:pt idx="1">
                  <c:v>GLCM</c:v>
                </c:pt>
                <c:pt idx="2">
                  <c:v>GLRLM</c:v>
                </c:pt>
                <c:pt idx="3">
                  <c:v>GLSZM</c:v>
                </c:pt>
                <c:pt idx="4">
                  <c:v>GLDM</c:v>
                </c:pt>
                <c:pt idx="5">
                  <c:v>NGTDM </c:v>
                </c:pt>
              </c:strCache>
            </c:strRef>
          </c:cat>
          <c:val>
            <c:numRef>
              <c:f>'db1'!$C$20:$C$25</c:f>
              <c:numCache>
                <c:formatCode>General</c:formatCode>
                <c:ptCount val="6"/>
                <c:pt idx="0">
                  <c:v>0.55936646144170499</c:v>
                </c:pt>
                <c:pt idx="1">
                  <c:v>0.64053424610843901</c:v>
                </c:pt>
                <c:pt idx="2">
                  <c:v>0.56903525571047597</c:v>
                </c:pt>
                <c:pt idx="3">
                  <c:v>0.51305166594556395</c:v>
                </c:pt>
                <c:pt idx="4">
                  <c:v>0.54892858426402702</c:v>
                </c:pt>
                <c:pt idx="5">
                  <c:v>0.69416942911659896</c:v>
                </c:pt>
              </c:numCache>
            </c:numRef>
          </c:val>
          <c:extLst>
            <c:ext xmlns:c16="http://schemas.microsoft.com/office/drawing/2014/chart" uri="{C3380CC4-5D6E-409C-BE32-E72D297353CC}">
              <c16:uniqueId val="{00000000-09EF-45B0-9C01-DAE5E3884348}"/>
            </c:ext>
          </c:extLst>
        </c:ser>
        <c:ser>
          <c:idx val="1"/>
          <c:order val="1"/>
          <c:tx>
            <c:strRef>
              <c:f>'db1'!$D$1</c:f>
              <c:strCache>
                <c:ptCount val="1"/>
                <c:pt idx="0">
                  <c:v>Daubechies wavelet</c:v>
                </c:pt>
              </c:strCache>
            </c:strRef>
          </c:tx>
          <c:spPr>
            <a:solidFill>
              <a:schemeClr val="accent2"/>
            </a:solidFill>
            <a:ln>
              <a:noFill/>
            </a:ln>
            <a:effectLst/>
          </c:spPr>
          <c:invertIfNegative val="0"/>
          <c:cat>
            <c:strRef>
              <c:f>'db1'!$B$20:$B$25</c:f>
              <c:strCache>
                <c:ptCount val="6"/>
                <c:pt idx="0">
                  <c:v>firstorder</c:v>
                </c:pt>
                <c:pt idx="1">
                  <c:v>GLCM</c:v>
                </c:pt>
                <c:pt idx="2">
                  <c:v>GLRLM</c:v>
                </c:pt>
                <c:pt idx="3">
                  <c:v>GLSZM</c:v>
                </c:pt>
                <c:pt idx="4">
                  <c:v>GLDM</c:v>
                </c:pt>
                <c:pt idx="5">
                  <c:v>NGTDM </c:v>
                </c:pt>
              </c:strCache>
            </c:strRef>
          </c:cat>
          <c:val>
            <c:numRef>
              <c:f>'db1'!$D$20:$D$25</c:f>
              <c:numCache>
                <c:formatCode>General</c:formatCode>
                <c:ptCount val="6"/>
                <c:pt idx="0">
                  <c:v>0.54754727981914098</c:v>
                </c:pt>
                <c:pt idx="1">
                  <c:v>0.62322636450524305</c:v>
                </c:pt>
                <c:pt idx="2">
                  <c:v>0.55999179238085595</c:v>
                </c:pt>
                <c:pt idx="3">
                  <c:v>0.440386907923212</c:v>
                </c:pt>
                <c:pt idx="4">
                  <c:v>0.59024499845450795</c:v>
                </c:pt>
                <c:pt idx="5">
                  <c:v>0.76830399374657798</c:v>
                </c:pt>
              </c:numCache>
            </c:numRef>
          </c:val>
          <c:extLst>
            <c:ext xmlns:c16="http://schemas.microsoft.com/office/drawing/2014/chart" uri="{C3380CC4-5D6E-409C-BE32-E72D297353CC}">
              <c16:uniqueId val="{00000001-09EF-45B0-9C01-DAE5E3884348}"/>
            </c:ext>
          </c:extLst>
        </c:ser>
        <c:dLbls>
          <c:showLegendKey val="0"/>
          <c:showVal val="0"/>
          <c:showCatName val="0"/>
          <c:showSerName val="0"/>
          <c:showPercent val="0"/>
          <c:showBubbleSize val="0"/>
        </c:dLbls>
        <c:gapWidth val="219"/>
        <c:overlap val="-27"/>
        <c:axId val="841039232"/>
        <c:axId val="871183248"/>
      </c:barChart>
      <c:catAx>
        <c:axId val="84103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1183248"/>
        <c:crosses val="autoZero"/>
        <c:auto val="1"/>
        <c:lblAlgn val="ctr"/>
        <c:lblOffset val="100"/>
        <c:noMultiLvlLbl val="0"/>
      </c:catAx>
      <c:valAx>
        <c:axId val="871183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ICC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103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606BA-7DE8-4265-AA13-8EA9E77C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7576</Words>
  <Characters>43187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IEEE</Company>
  <LinksUpToDate>false</LinksUpToDate>
  <CharactersWithSpaces>50662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IEEE</dc:creator>
  <cp:keywords/>
  <cp:lastModifiedBy>Rasyida</cp:lastModifiedBy>
  <cp:revision>33</cp:revision>
  <dcterms:created xsi:type="dcterms:W3CDTF">2023-08-18T00:04:00Z</dcterms:created>
  <dcterms:modified xsi:type="dcterms:W3CDTF">2023-09-01T07:30:00Z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6538a636-4add-3f5d-a798-00344e1e6628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