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48FCB" w14:textId="65550B4A" w:rsidR="00695CE7" w:rsidRDefault="009E3992">
      <w:pPr>
        <w:pBdr>
          <w:top w:val="nil"/>
          <w:left w:val="nil"/>
          <w:bottom w:val="nil"/>
          <w:right w:val="nil"/>
          <w:between w:val="nil"/>
        </w:pBdr>
        <w:ind w:right="190"/>
        <w:jc w:val="both"/>
        <w:rPr>
          <w:b/>
          <w:color w:val="0070C0"/>
          <w:sz w:val="40"/>
          <w:szCs w:val="40"/>
        </w:rPr>
      </w:pPr>
      <w:r w:rsidRPr="009E3992">
        <w:rPr>
          <w:b/>
          <w:color w:val="0070C0"/>
          <w:sz w:val="40"/>
          <w:szCs w:val="40"/>
        </w:rPr>
        <w:t xml:space="preserve">Analisis Risiko </w:t>
      </w:r>
      <w:r w:rsidRPr="009E3992">
        <w:rPr>
          <w:b/>
          <w:i/>
          <w:iCs/>
          <w:color w:val="0070C0"/>
          <w:sz w:val="40"/>
          <w:szCs w:val="40"/>
        </w:rPr>
        <w:t>Overpressure</w:t>
      </w:r>
      <w:r w:rsidRPr="009E3992">
        <w:rPr>
          <w:b/>
          <w:color w:val="0070C0"/>
          <w:sz w:val="40"/>
          <w:szCs w:val="40"/>
        </w:rPr>
        <w:t xml:space="preserve"> pada </w:t>
      </w:r>
      <w:r w:rsidRPr="009E3992">
        <w:rPr>
          <w:b/>
          <w:i/>
          <w:iCs/>
          <w:color w:val="0070C0"/>
          <w:sz w:val="40"/>
          <w:szCs w:val="40"/>
        </w:rPr>
        <w:t>Propylene Recovery Unit</w:t>
      </w:r>
      <w:r w:rsidRPr="009E3992">
        <w:rPr>
          <w:b/>
          <w:color w:val="0070C0"/>
          <w:sz w:val="40"/>
          <w:szCs w:val="40"/>
        </w:rPr>
        <w:t xml:space="preserve"> dengan FMEA</w:t>
      </w:r>
    </w:p>
    <w:p w14:paraId="464D240E" w14:textId="77777777" w:rsidR="00695CE7" w:rsidRDefault="00695CE7">
      <w:pPr>
        <w:rPr>
          <w:sz w:val="32"/>
          <w:szCs w:val="32"/>
        </w:rPr>
      </w:pPr>
    </w:p>
    <w:p w14:paraId="186D079A" w14:textId="6A95BCDA" w:rsidR="00695CE7" w:rsidRDefault="009E3992">
      <w:pPr>
        <w:pBdr>
          <w:top w:val="nil"/>
          <w:left w:val="nil"/>
          <w:bottom w:val="nil"/>
          <w:right w:val="nil"/>
          <w:between w:val="nil"/>
        </w:pBdr>
        <w:shd w:val="clear" w:color="auto" w:fill="002060"/>
        <w:spacing w:after="60"/>
        <w:ind w:right="193"/>
        <w:jc w:val="both"/>
        <w:rPr>
          <w:b/>
          <w:color w:val="000000"/>
          <w:sz w:val="16"/>
          <w:szCs w:val="16"/>
        </w:rPr>
      </w:pPr>
      <w:r w:rsidRPr="009E3992">
        <w:rPr>
          <w:b/>
          <w:color w:val="FFFFFF"/>
        </w:rPr>
        <w:t>Rizal Fawzi</w:t>
      </w:r>
      <w:r w:rsidR="00C11332" w:rsidRPr="00C05413">
        <w:rPr>
          <w:b/>
          <w:color w:val="FFFFFF"/>
          <w:vertAlign w:val="superscript"/>
        </w:rPr>
        <w:t>1</w:t>
      </w:r>
      <w:r w:rsidR="00C11332" w:rsidRPr="00C11332">
        <w:rPr>
          <w:b/>
          <w:color w:val="FFFFFF"/>
        </w:rPr>
        <w:t xml:space="preserve">*, </w:t>
      </w:r>
      <w:r w:rsidR="00C05413" w:rsidRPr="00C05413">
        <w:rPr>
          <w:b/>
          <w:color w:val="FFFFFF"/>
        </w:rPr>
        <w:t>Manik Ayu Titisari</w:t>
      </w:r>
      <w:r w:rsidR="00C11332" w:rsidRPr="00C05413">
        <w:rPr>
          <w:b/>
          <w:color w:val="FFFFFF"/>
          <w:vertAlign w:val="superscript"/>
        </w:rPr>
        <w:t>2</w:t>
      </w:r>
    </w:p>
    <w:p w14:paraId="29C9629B" w14:textId="5621FA72" w:rsidR="00695CE7" w:rsidRDefault="002E5764">
      <w:pPr>
        <w:ind w:right="193"/>
        <w:rPr>
          <w:sz w:val="20"/>
          <w:szCs w:val="20"/>
        </w:rPr>
      </w:pPr>
      <w:r>
        <w:rPr>
          <w:color w:val="000000"/>
          <w:sz w:val="20"/>
          <w:szCs w:val="20"/>
          <w:vertAlign w:val="superscript"/>
        </w:rPr>
        <w:t xml:space="preserve">1,2 </w:t>
      </w:r>
      <w:r w:rsidR="00AF0420" w:rsidRPr="00AF0420">
        <w:rPr>
          <w:color w:val="000000"/>
          <w:sz w:val="20"/>
          <w:szCs w:val="20"/>
        </w:rPr>
        <w:t>Teknik Industri, Universitas PGRI Adi Buana, Surabaya, Indonesia</w:t>
      </w:r>
    </w:p>
    <w:p w14:paraId="2DD8AEF9" w14:textId="77777777" w:rsidR="00695CE7" w:rsidRDefault="00695CE7">
      <w:pPr>
        <w:rPr>
          <w:i/>
          <w:sz w:val="16"/>
          <w:szCs w:val="16"/>
        </w:rPr>
      </w:pPr>
    </w:p>
    <w:p w14:paraId="6CBD580D" w14:textId="77777777" w:rsidR="00695CE7" w:rsidRDefault="00695CE7">
      <w:pPr>
        <w:pBdr>
          <w:top w:val="single" w:sz="4" w:space="1" w:color="000000"/>
          <w:bottom w:val="single" w:sz="4" w:space="1" w:color="000000"/>
        </w:pBdr>
        <w:rPr>
          <w:sz w:val="6"/>
          <w:szCs w:val="6"/>
        </w:rPr>
      </w:pPr>
    </w:p>
    <w:p w14:paraId="36E7E382" w14:textId="77777777" w:rsidR="00695CE7" w:rsidRDefault="00695CE7">
      <w:pPr>
        <w:pBdr>
          <w:top w:val="single" w:sz="4" w:space="1" w:color="000000"/>
          <w:bottom w:val="single" w:sz="4" w:space="1" w:color="000000"/>
        </w:pBdr>
        <w:rPr>
          <w:sz w:val="2"/>
          <w:szCs w:val="2"/>
        </w:rPr>
      </w:pPr>
    </w:p>
    <w:p w14:paraId="790FC492" w14:textId="77777777" w:rsidR="00695CE7" w:rsidRDefault="00695CE7">
      <w:pPr>
        <w:pBdr>
          <w:top w:val="single" w:sz="4" w:space="1" w:color="000000"/>
          <w:bottom w:val="single" w:sz="4" w:space="1" w:color="000000"/>
        </w:pBdr>
        <w:rPr>
          <w:sz w:val="6"/>
          <w:szCs w:val="6"/>
        </w:rPr>
      </w:pPr>
    </w:p>
    <w:p w14:paraId="6CF506C7" w14:textId="6320A229" w:rsidR="00695CE7" w:rsidRDefault="00C11332">
      <w:pPr>
        <w:pBdr>
          <w:top w:val="single" w:sz="4" w:space="1" w:color="000000"/>
          <w:bottom w:val="single" w:sz="4" w:space="1" w:color="000000"/>
        </w:pBdr>
        <w:rPr>
          <w:b/>
        </w:rPr>
      </w:pPr>
      <w:r>
        <w:rPr>
          <w:noProof/>
        </w:rPr>
        <mc:AlternateContent>
          <mc:Choice Requires="wps">
            <w:drawing>
              <wp:anchor distT="45720" distB="45720" distL="114300" distR="114300" simplePos="0" relativeHeight="251658240" behindDoc="0" locked="0" layoutInCell="1" hidden="0" allowOverlap="1" wp14:anchorId="156B4B53" wp14:editId="309B7226">
                <wp:simplePos x="0" y="0"/>
                <wp:positionH relativeFrom="margin">
                  <wp:align>left</wp:align>
                </wp:positionH>
                <wp:positionV relativeFrom="paragraph">
                  <wp:posOffset>32385</wp:posOffset>
                </wp:positionV>
                <wp:extent cx="1666240" cy="5191760"/>
                <wp:effectExtent l="0" t="0" r="0" b="8890"/>
                <wp:wrapSquare wrapText="bothSides" distT="45720" distB="45720" distL="114300" distR="114300"/>
                <wp:docPr id="99" name="Rectangle 99"/>
                <wp:cNvGraphicFramePr/>
                <a:graphic xmlns:a="http://schemas.openxmlformats.org/drawingml/2006/main">
                  <a:graphicData uri="http://schemas.microsoft.com/office/word/2010/wordprocessingShape">
                    <wps:wsp>
                      <wps:cNvSpPr/>
                      <wps:spPr>
                        <a:xfrm>
                          <a:off x="0" y="0"/>
                          <a:ext cx="1666240" cy="5192201"/>
                        </a:xfrm>
                        <a:prstGeom prst="rect">
                          <a:avLst/>
                        </a:prstGeom>
                        <a:solidFill>
                          <a:srgbClr val="FFFFFF"/>
                        </a:solidFill>
                        <a:ln>
                          <a:noFill/>
                        </a:ln>
                      </wps:spPr>
                      <wps:txbx>
                        <w:txbxContent>
                          <w:p w14:paraId="5F88F31B" w14:textId="77777777" w:rsidR="00695CE7" w:rsidRDefault="002E5764">
                            <w:pPr>
                              <w:textDirection w:val="btLr"/>
                            </w:pPr>
                            <w:r>
                              <w:rPr>
                                <w:rFonts w:ascii="Cambria" w:eastAsia="Cambria" w:hAnsi="Cambria" w:cs="Cambria"/>
                                <w:b/>
                                <w:color w:val="000000"/>
                                <w:sz w:val="18"/>
                              </w:rPr>
                              <w:t>A R T I C L E   I N F O</w:t>
                            </w:r>
                          </w:p>
                          <w:p w14:paraId="23E3357E" w14:textId="77777777" w:rsidR="00695CE7" w:rsidRDefault="002E5764">
                            <w:pPr>
                              <w:spacing w:before="120"/>
                              <w:textDirection w:val="btLr"/>
                            </w:pPr>
                            <w:r>
                              <w:rPr>
                                <w:rFonts w:ascii="Cambria" w:eastAsia="Cambria" w:hAnsi="Cambria" w:cs="Cambria"/>
                                <w:b/>
                                <w:color w:val="000000"/>
                                <w:sz w:val="16"/>
                              </w:rPr>
                              <w:t>Article history:</w:t>
                            </w:r>
                          </w:p>
                          <w:p w14:paraId="5E87DEB7" w14:textId="77777777" w:rsidR="00695CE7" w:rsidRDefault="002E5764">
                            <w:pPr>
                              <w:textDirection w:val="btLr"/>
                            </w:pPr>
                            <w:r>
                              <w:rPr>
                                <w:rFonts w:eastAsia="Times New Roman"/>
                                <w:color w:val="000000"/>
                                <w:sz w:val="16"/>
                              </w:rPr>
                              <w:t>Received November 20, 2022</w:t>
                            </w:r>
                          </w:p>
                          <w:p w14:paraId="1D77F84F" w14:textId="77777777" w:rsidR="00695CE7" w:rsidRDefault="002E5764">
                            <w:pPr>
                              <w:textDirection w:val="btLr"/>
                            </w:pPr>
                            <w:r>
                              <w:rPr>
                                <w:rFonts w:eastAsia="Times New Roman"/>
                                <w:color w:val="000000"/>
                                <w:sz w:val="16"/>
                              </w:rPr>
                              <w:t>Revised November 25, 2022</w:t>
                            </w:r>
                          </w:p>
                          <w:p w14:paraId="1E7DC2C5" w14:textId="77777777" w:rsidR="00695CE7" w:rsidRDefault="002E5764">
                            <w:pPr>
                              <w:textDirection w:val="btLr"/>
                            </w:pPr>
                            <w:r>
                              <w:rPr>
                                <w:rFonts w:eastAsia="Times New Roman"/>
                                <w:color w:val="000000"/>
                                <w:sz w:val="16"/>
                              </w:rPr>
                              <w:t>Accepted Desember 19, 2022</w:t>
                            </w:r>
                          </w:p>
                          <w:p w14:paraId="59A5D1C3" w14:textId="77777777" w:rsidR="00695CE7" w:rsidRDefault="002E5764">
                            <w:pPr>
                              <w:textDirection w:val="btLr"/>
                            </w:pPr>
                            <w:r>
                              <w:rPr>
                                <w:rFonts w:eastAsia="Times New Roman"/>
                                <w:color w:val="000000"/>
                                <w:sz w:val="16"/>
                              </w:rPr>
                              <w:t>Available online Januari 21, 2023</w:t>
                            </w:r>
                          </w:p>
                          <w:p w14:paraId="77E4BA78" w14:textId="77777777" w:rsidR="00C11332" w:rsidRDefault="00C11332">
                            <w:pPr>
                              <w:textDirection w:val="btLr"/>
                              <w:rPr>
                                <w:rFonts w:ascii="Cambria" w:eastAsia="Cambria" w:hAnsi="Cambria" w:cs="Cambria"/>
                                <w:b/>
                                <w:color w:val="000000"/>
                                <w:sz w:val="16"/>
                              </w:rPr>
                            </w:pPr>
                          </w:p>
                          <w:p w14:paraId="6893C5F2" w14:textId="2520D6FF" w:rsidR="00695CE7" w:rsidRDefault="002E5764">
                            <w:pPr>
                              <w:textDirection w:val="btLr"/>
                            </w:pPr>
                            <w:r>
                              <w:rPr>
                                <w:rFonts w:ascii="Cambria" w:eastAsia="Cambria" w:hAnsi="Cambria" w:cs="Cambria"/>
                                <w:b/>
                                <w:color w:val="000000"/>
                                <w:sz w:val="16"/>
                              </w:rPr>
                              <w:t>Kata Kunci:</w:t>
                            </w:r>
                          </w:p>
                          <w:p w14:paraId="36B09754" w14:textId="77777777" w:rsidR="003E1808" w:rsidRDefault="003E1808">
                            <w:pPr>
                              <w:jc w:val="both"/>
                              <w:textDirection w:val="btLr"/>
                              <w:rPr>
                                <w:rFonts w:ascii="Cambria" w:eastAsia="Cambria" w:hAnsi="Cambria" w:cs="Cambria"/>
                                <w:i/>
                                <w:iCs/>
                                <w:color w:val="000000"/>
                                <w:sz w:val="16"/>
                              </w:rPr>
                            </w:pPr>
                            <w:r w:rsidRPr="003E1808">
                              <w:rPr>
                                <w:rFonts w:ascii="Cambria" w:eastAsia="Cambria" w:hAnsi="Cambria" w:cs="Cambria"/>
                                <w:i/>
                                <w:iCs/>
                                <w:color w:val="000000"/>
                                <w:sz w:val="16"/>
                              </w:rPr>
                              <w:t xml:space="preserve">overpressure; </w:t>
                            </w:r>
                          </w:p>
                          <w:p w14:paraId="3056938C" w14:textId="77777777" w:rsidR="003E1808" w:rsidRDefault="003E1808">
                            <w:pPr>
                              <w:jc w:val="both"/>
                              <w:textDirection w:val="btLr"/>
                              <w:rPr>
                                <w:rFonts w:ascii="Cambria" w:eastAsia="Cambria" w:hAnsi="Cambria" w:cs="Cambria"/>
                                <w:i/>
                                <w:iCs/>
                                <w:color w:val="000000"/>
                                <w:sz w:val="16"/>
                              </w:rPr>
                            </w:pPr>
                            <w:r w:rsidRPr="003E1808">
                              <w:rPr>
                                <w:rFonts w:ascii="Cambria" w:eastAsia="Cambria" w:hAnsi="Cambria" w:cs="Cambria"/>
                                <w:i/>
                                <w:iCs/>
                                <w:color w:val="000000"/>
                                <w:sz w:val="16"/>
                              </w:rPr>
                              <w:t xml:space="preserve">Propylene Recovery Unit; </w:t>
                            </w:r>
                          </w:p>
                          <w:p w14:paraId="040BBA80" w14:textId="77777777" w:rsidR="003E1808" w:rsidRDefault="003E1808">
                            <w:pPr>
                              <w:jc w:val="both"/>
                              <w:textDirection w:val="btLr"/>
                              <w:rPr>
                                <w:rFonts w:ascii="Cambria" w:eastAsia="Cambria" w:hAnsi="Cambria" w:cs="Cambria"/>
                                <w:i/>
                                <w:iCs/>
                                <w:color w:val="000000"/>
                                <w:sz w:val="16"/>
                              </w:rPr>
                            </w:pPr>
                            <w:r w:rsidRPr="003E1808">
                              <w:rPr>
                                <w:rFonts w:ascii="Cambria" w:eastAsia="Cambria" w:hAnsi="Cambria" w:cs="Cambria"/>
                                <w:color w:val="000000"/>
                                <w:sz w:val="16"/>
                              </w:rPr>
                              <w:t>FMEA</w:t>
                            </w:r>
                            <w:r w:rsidRPr="003E1808">
                              <w:rPr>
                                <w:rFonts w:ascii="Cambria" w:eastAsia="Cambria" w:hAnsi="Cambria" w:cs="Cambria"/>
                                <w:i/>
                                <w:iCs/>
                                <w:color w:val="000000"/>
                                <w:sz w:val="16"/>
                              </w:rPr>
                              <w:t xml:space="preserve">; </w:t>
                            </w:r>
                          </w:p>
                          <w:p w14:paraId="4DF04144" w14:textId="77777777" w:rsidR="003E1808" w:rsidRDefault="003E1808">
                            <w:pPr>
                              <w:jc w:val="both"/>
                              <w:textDirection w:val="btLr"/>
                              <w:rPr>
                                <w:rFonts w:ascii="Cambria" w:eastAsia="Cambria" w:hAnsi="Cambria" w:cs="Cambria"/>
                                <w:i/>
                                <w:iCs/>
                                <w:color w:val="000000"/>
                                <w:sz w:val="16"/>
                              </w:rPr>
                            </w:pPr>
                            <w:r w:rsidRPr="003E1808">
                              <w:rPr>
                                <w:rFonts w:ascii="Cambria" w:eastAsia="Cambria" w:hAnsi="Cambria" w:cs="Cambria"/>
                                <w:i/>
                                <w:iCs/>
                                <w:color w:val="000000"/>
                                <w:sz w:val="16"/>
                              </w:rPr>
                              <w:t xml:space="preserve">Risk Priority Number; </w:t>
                            </w:r>
                          </w:p>
                          <w:p w14:paraId="081DD51F" w14:textId="50FE7C38" w:rsidR="00695CE7" w:rsidRDefault="003E1808">
                            <w:pPr>
                              <w:jc w:val="both"/>
                              <w:textDirection w:val="btLr"/>
                            </w:pPr>
                            <w:r w:rsidRPr="003E1808">
                              <w:rPr>
                                <w:rFonts w:ascii="Cambria" w:eastAsia="Cambria" w:hAnsi="Cambria" w:cs="Cambria"/>
                                <w:i/>
                                <w:iCs/>
                                <w:color w:val="000000"/>
                                <w:sz w:val="16"/>
                              </w:rPr>
                              <w:t>keselamatan proses</w:t>
                            </w:r>
                          </w:p>
                          <w:p w14:paraId="50804BEE" w14:textId="77777777" w:rsidR="00C11332" w:rsidRDefault="00C11332">
                            <w:pPr>
                              <w:textDirection w:val="btLr"/>
                              <w:rPr>
                                <w:rFonts w:ascii="Cambria" w:eastAsia="Cambria" w:hAnsi="Cambria" w:cs="Cambria"/>
                                <w:b/>
                                <w:i/>
                                <w:color w:val="000000"/>
                                <w:sz w:val="16"/>
                              </w:rPr>
                            </w:pPr>
                          </w:p>
                          <w:p w14:paraId="52FA076D" w14:textId="1CD27286" w:rsidR="00695CE7" w:rsidRDefault="002E5764">
                            <w:pPr>
                              <w:textDirection w:val="btLr"/>
                            </w:pPr>
                            <w:r>
                              <w:rPr>
                                <w:rFonts w:ascii="Cambria" w:eastAsia="Cambria" w:hAnsi="Cambria" w:cs="Cambria"/>
                                <w:b/>
                                <w:i/>
                                <w:color w:val="000000"/>
                                <w:sz w:val="16"/>
                              </w:rPr>
                              <w:t>Keywords:</w:t>
                            </w:r>
                          </w:p>
                          <w:p w14:paraId="58E7D117" w14:textId="77777777" w:rsidR="00F30806" w:rsidRDefault="00F30806">
                            <w:pPr>
                              <w:jc w:val="both"/>
                              <w:textDirection w:val="btLr"/>
                              <w:rPr>
                                <w:rFonts w:ascii="Cambria" w:eastAsia="Cambria" w:hAnsi="Cambria" w:cs="Cambria"/>
                                <w:i/>
                                <w:color w:val="000000"/>
                                <w:sz w:val="16"/>
                              </w:rPr>
                            </w:pPr>
                            <w:r w:rsidRPr="00F30806">
                              <w:rPr>
                                <w:rFonts w:ascii="Cambria" w:eastAsia="Cambria" w:hAnsi="Cambria" w:cs="Cambria"/>
                                <w:i/>
                                <w:color w:val="000000"/>
                                <w:sz w:val="16"/>
                              </w:rPr>
                              <w:t xml:space="preserve">overpressure; </w:t>
                            </w:r>
                          </w:p>
                          <w:p w14:paraId="3CA68FB3" w14:textId="77777777" w:rsidR="00F30806" w:rsidRDefault="00F30806">
                            <w:pPr>
                              <w:jc w:val="both"/>
                              <w:textDirection w:val="btLr"/>
                              <w:rPr>
                                <w:rFonts w:ascii="Cambria" w:eastAsia="Cambria" w:hAnsi="Cambria" w:cs="Cambria"/>
                                <w:i/>
                                <w:color w:val="000000"/>
                                <w:sz w:val="16"/>
                              </w:rPr>
                            </w:pPr>
                            <w:r w:rsidRPr="00F30806">
                              <w:rPr>
                                <w:rFonts w:ascii="Cambria" w:eastAsia="Cambria" w:hAnsi="Cambria" w:cs="Cambria"/>
                                <w:i/>
                                <w:color w:val="000000"/>
                                <w:sz w:val="16"/>
                              </w:rPr>
                              <w:t xml:space="preserve">Propylene Recovery Unit; </w:t>
                            </w:r>
                          </w:p>
                          <w:p w14:paraId="238A188C" w14:textId="77777777" w:rsidR="00F30806" w:rsidRDefault="00F30806">
                            <w:pPr>
                              <w:jc w:val="both"/>
                              <w:textDirection w:val="btLr"/>
                              <w:rPr>
                                <w:rFonts w:ascii="Cambria" w:eastAsia="Cambria" w:hAnsi="Cambria" w:cs="Cambria"/>
                                <w:i/>
                                <w:color w:val="000000"/>
                                <w:sz w:val="16"/>
                              </w:rPr>
                            </w:pPr>
                            <w:r w:rsidRPr="00F30806">
                              <w:rPr>
                                <w:rFonts w:ascii="Cambria" w:eastAsia="Cambria" w:hAnsi="Cambria" w:cs="Cambria"/>
                                <w:i/>
                                <w:color w:val="000000"/>
                                <w:sz w:val="16"/>
                              </w:rPr>
                              <w:t xml:space="preserve">FMEA; </w:t>
                            </w:r>
                          </w:p>
                          <w:p w14:paraId="3B48AC27" w14:textId="77777777" w:rsidR="00F30806" w:rsidRDefault="00F30806">
                            <w:pPr>
                              <w:jc w:val="both"/>
                              <w:textDirection w:val="btLr"/>
                              <w:rPr>
                                <w:rFonts w:ascii="Cambria" w:eastAsia="Cambria" w:hAnsi="Cambria" w:cs="Cambria"/>
                                <w:i/>
                                <w:color w:val="000000"/>
                                <w:sz w:val="16"/>
                              </w:rPr>
                            </w:pPr>
                            <w:r w:rsidRPr="00F30806">
                              <w:rPr>
                                <w:rFonts w:ascii="Cambria" w:eastAsia="Cambria" w:hAnsi="Cambria" w:cs="Cambria"/>
                                <w:i/>
                                <w:color w:val="000000"/>
                                <w:sz w:val="16"/>
                              </w:rPr>
                              <w:t xml:space="preserve">Risk Priority Number; </w:t>
                            </w:r>
                          </w:p>
                          <w:p w14:paraId="5CFBD542" w14:textId="03DC7387" w:rsidR="00695CE7" w:rsidRDefault="00F30806">
                            <w:pPr>
                              <w:jc w:val="both"/>
                              <w:textDirection w:val="btLr"/>
                            </w:pPr>
                            <w:r w:rsidRPr="00F30806">
                              <w:rPr>
                                <w:rFonts w:ascii="Cambria" w:eastAsia="Cambria" w:hAnsi="Cambria" w:cs="Cambria"/>
                                <w:i/>
                                <w:color w:val="000000"/>
                                <w:sz w:val="16"/>
                              </w:rPr>
                              <w:t>process safety</w:t>
                            </w:r>
                          </w:p>
                          <w:p w14:paraId="57C78860" w14:textId="77777777" w:rsidR="00695CE7" w:rsidRDefault="00695CE7">
                            <w:pPr>
                              <w:textDirection w:val="btLr"/>
                            </w:pPr>
                          </w:p>
                          <w:p w14:paraId="44907E21" w14:textId="77777777" w:rsidR="00C11332" w:rsidRDefault="00C11332">
                            <w:pPr>
                              <w:textDirection w:val="btLr"/>
                            </w:pPr>
                          </w:p>
                          <w:p w14:paraId="1CC7C23D" w14:textId="77777777" w:rsidR="00695CE7" w:rsidRDefault="002E5764">
                            <w:pPr>
                              <w:jc w:val="both"/>
                              <w:textDirection w:val="btLr"/>
                            </w:pPr>
                            <w:r>
                              <w:rPr>
                                <w:rFonts w:ascii="Cambria" w:eastAsia="Cambria" w:hAnsi="Cambria" w:cs="Cambria"/>
                                <w:i/>
                                <w:color w:val="000000"/>
                                <w:sz w:val="14"/>
                              </w:rPr>
                              <w:t xml:space="preserve">This is an open access article under the </w:t>
                            </w:r>
                            <w:r>
                              <w:rPr>
                                <w:rFonts w:ascii="Cambria" w:eastAsia="Cambria" w:hAnsi="Cambria" w:cs="Cambria"/>
                                <w:i/>
                                <w:color w:val="0000FF"/>
                                <w:sz w:val="14"/>
                                <w:u w:val="single"/>
                              </w:rPr>
                              <w:t>CC BY-SA</w:t>
                            </w:r>
                            <w:r>
                              <w:rPr>
                                <w:rFonts w:ascii="Cambria" w:eastAsia="Cambria" w:hAnsi="Cambria" w:cs="Cambria"/>
                                <w:i/>
                                <w:color w:val="000000"/>
                                <w:sz w:val="14"/>
                              </w:rPr>
                              <w:t xml:space="preserve"> license.</w:t>
                            </w:r>
                            <w:r>
                              <w:rPr>
                                <w:rFonts w:ascii="Cambria" w:eastAsia="Cambria" w:hAnsi="Cambria" w:cs="Cambria"/>
                                <w:color w:val="000000"/>
                                <w:sz w:val="14"/>
                              </w:rPr>
                              <w:t xml:space="preserve"> </w:t>
                            </w:r>
                          </w:p>
                          <w:p w14:paraId="36735F33" w14:textId="77777777" w:rsidR="00695CE7" w:rsidRDefault="002E5764">
                            <w:pPr>
                              <w:spacing w:before="60"/>
                              <w:textDirection w:val="btLr"/>
                            </w:pPr>
                            <w:r>
                              <w:rPr>
                                <w:rFonts w:ascii="Cambria" w:eastAsia="Cambria" w:hAnsi="Cambria" w:cs="Cambria"/>
                                <w:i/>
                                <w:color w:val="000000"/>
                                <w:sz w:val="14"/>
                              </w:rPr>
                              <w:t>Copyright © 2022  by Author. Published by Universitas PGRI ADI BUANA SURABAYA.</w:t>
                            </w:r>
                          </w:p>
                          <w:p w14:paraId="0317F47C" w14:textId="77777777" w:rsidR="00695CE7" w:rsidRDefault="00695CE7">
                            <w:pPr>
                              <w:textDirection w:val="btLr"/>
                            </w:pPr>
                          </w:p>
                        </w:txbxContent>
                      </wps:txbx>
                      <wps:bodyPr spcFirstLastPara="1" wrap="square" lIns="0" tIns="0" rIns="8227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56B4B53" id="Rectangle 99" o:spid="_x0000_s1026" style="position:absolute;margin-left:0;margin-top:2.55pt;width:131.2pt;height:408.8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" stroked="f">
                <v:textbox inset="0,0,2.28542mm,0">
                  <w:txbxContent>
                    <w:p w14:paraId="5F88F31B" w14:textId="77777777" w:rsidR="00695CE7" w:rsidRDefault="002E5764">
                      <w:pPr>
                        <w:textDirection w:val="btLr"/>
                      </w:pPr>
                      <w:r>
                        <w:rPr>
                          <w:rFonts w:ascii="Cambria" w:eastAsia="Cambria" w:hAnsi="Cambria" w:cs="Cambria"/>
                          <w:b/>
                          <w:color w:val="000000"/>
                          <w:sz w:val="18"/>
                        </w:rPr>
                        <w:t>A R T I C L E   I N F O</w:t>
                      </w:r>
                    </w:p>
                    <w:p w14:paraId="23E3357E" w14:textId="77777777" w:rsidR="00695CE7" w:rsidRDefault="002E5764">
                      <w:pPr>
                        <w:spacing w:before="120"/>
                        <w:textDirection w:val="btLr"/>
                      </w:pPr>
                      <w:r>
                        <w:rPr>
                          <w:rFonts w:ascii="Cambria" w:eastAsia="Cambria" w:hAnsi="Cambria" w:cs="Cambria"/>
                          <w:b/>
                          <w:color w:val="000000"/>
                          <w:sz w:val="16"/>
                        </w:rPr>
                        <w:t>Article history:</w:t>
                      </w:r>
                    </w:p>
                    <w:p w14:paraId="5E87DEB7" w14:textId="77777777" w:rsidR="00695CE7" w:rsidRDefault="002E5764">
                      <w:pPr>
                        <w:textDirection w:val="btLr"/>
                      </w:pPr>
                      <w:r>
                        <w:rPr>
                          <w:rFonts w:eastAsia="Times New Roman"/>
                          <w:color w:val="000000"/>
                          <w:sz w:val="16"/>
                        </w:rPr>
                        <w:t>Received November 20, 2022</w:t>
                      </w:r>
                    </w:p>
                    <w:p w14:paraId="1D77F84F" w14:textId="77777777" w:rsidR="00695CE7" w:rsidRDefault="002E5764">
                      <w:pPr>
                        <w:textDirection w:val="btLr"/>
                      </w:pPr>
                      <w:r>
                        <w:rPr>
                          <w:rFonts w:eastAsia="Times New Roman"/>
                          <w:color w:val="000000"/>
                          <w:sz w:val="16"/>
                        </w:rPr>
                        <w:t>Revised November 25, 2022</w:t>
                      </w:r>
                    </w:p>
                    <w:p w14:paraId="1E7DC2C5" w14:textId="77777777" w:rsidR="00695CE7" w:rsidRDefault="002E5764">
                      <w:pPr>
                        <w:textDirection w:val="btLr"/>
                      </w:pPr>
                      <w:r>
                        <w:rPr>
                          <w:rFonts w:eastAsia="Times New Roman"/>
                          <w:color w:val="000000"/>
                          <w:sz w:val="16"/>
                        </w:rPr>
                        <w:t>Accepted Desember 19, 2022</w:t>
                      </w:r>
                    </w:p>
                    <w:p w14:paraId="59A5D1C3" w14:textId="77777777" w:rsidR="00695CE7" w:rsidRDefault="002E5764">
                      <w:pPr>
                        <w:textDirection w:val="btLr"/>
                      </w:pPr>
                      <w:r>
                        <w:rPr>
                          <w:rFonts w:eastAsia="Times New Roman"/>
                          <w:color w:val="000000"/>
                          <w:sz w:val="16"/>
                        </w:rPr>
                        <w:t>Available online Januari 21, 2023</w:t>
                      </w:r>
                    </w:p>
                    <w:p w14:paraId="77E4BA78" w14:textId="77777777" w:rsidR="00C11332" w:rsidRDefault="00C11332">
                      <w:pPr>
                        <w:textDirection w:val="btLr"/>
                        <w:rPr>
                          <w:rFonts w:ascii="Cambria" w:eastAsia="Cambria" w:hAnsi="Cambria" w:cs="Cambria"/>
                          <w:b/>
                          <w:color w:val="000000"/>
                          <w:sz w:val="16"/>
                        </w:rPr>
                      </w:pPr>
                    </w:p>
                    <w:p w14:paraId="6893C5F2" w14:textId="2520D6FF" w:rsidR="00695CE7" w:rsidRDefault="002E5764">
                      <w:pPr>
                        <w:textDirection w:val="btLr"/>
                      </w:pPr>
                      <w:r>
                        <w:rPr>
                          <w:rFonts w:ascii="Cambria" w:eastAsia="Cambria" w:hAnsi="Cambria" w:cs="Cambria"/>
                          <w:b/>
                          <w:color w:val="000000"/>
                          <w:sz w:val="16"/>
                        </w:rPr>
                        <w:t>Kata Kunci:</w:t>
                      </w:r>
                    </w:p>
                    <w:p w14:paraId="36B09754" w14:textId="77777777" w:rsidR="003E1808" w:rsidRDefault="003E1808">
                      <w:pPr>
                        <w:jc w:val="both"/>
                        <w:textDirection w:val="btLr"/>
                        <w:rPr>
                          <w:rFonts w:ascii="Cambria" w:eastAsia="Cambria" w:hAnsi="Cambria" w:cs="Cambria"/>
                          <w:i/>
                          <w:iCs/>
                          <w:color w:val="000000"/>
                          <w:sz w:val="16"/>
                        </w:rPr>
                      </w:pPr>
                      <w:r w:rsidRPr="003E1808">
                        <w:rPr>
                          <w:rFonts w:ascii="Cambria" w:eastAsia="Cambria" w:hAnsi="Cambria" w:cs="Cambria"/>
                          <w:i/>
                          <w:iCs/>
                          <w:color w:val="000000"/>
                          <w:sz w:val="16"/>
                        </w:rPr>
                        <w:t xml:space="preserve">overpressure; </w:t>
                      </w:r>
                    </w:p>
                    <w:p w14:paraId="3056938C" w14:textId="77777777" w:rsidR="003E1808" w:rsidRDefault="003E1808">
                      <w:pPr>
                        <w:jc w:val="both"/>
                        <w:textDirection w:val="btLr"/>
                        <w:rPr>
                          <w:rFonts w:ascii="Cambria" w:eastAsia="Cambria" w:hAnsi="Cambria" w:cs="Cambria"/>
                          <w:i/>
                          <w:iCs/>
                          <w:color w:val="000000"/>
                          <w:sz w:val="16"/>
                        </w:rPr>
                      </w:pPr>
                      <w:r w:rsidRPr="003E1808">
                        <w:rPr>
                          <w:rFonts w:ascii="Cambria" w:eastAsia="Cambria" w:hAnsi="Cambria" w:cs="Cambria"/>
                          <w:i/>
                          <w:iCs/>
                          <w:color w:val="000000"/>
                          <w:sz w:val="16"/>
                        </w:rPr>
                        <w:t xml:space="preserve">Propylene Recovery Unit; </w:t>
                      </w:r>
                    </w:p>
                    <w:p w14:paraId="040BBA80" w14:textId="77777777" w:rsidR="003E1808" w:rsidRDefault="003E1808">
                      <w:pPr>
                        <w:jc w:val="both"/>
                        <w:textDirection w:val="btLr"/>
                        <w:rPr>
                          <w:rFonts w:ascii="Cambria" w:eastAsia="Cambria" w:hAnsi="Cambria" w:cs="Cambria"/>
                          <w:i/>
                          <w:iCs/>
                          <w:color w:val="000000"/>
                          <w:sz w:val="16"/>
                        </w:rPr>
                      </w:pPr>
                      <w:r w:rsidRPr="003E1808">
                        <w:rPr>
                          <w:rFonts w:ascii="Cambria" w:eastAsia="Cambria" w:hAnsi="Cambria" w:cs="Cambria"/>
                          <w:color w:val="000000"/>
                          <w:sz w:val="16"/>
                        </w:rPr>
                        <w:t>FMEA</w:t>
                      </w:r>
                      <w:r w:rsidRPr="003E1808">
                        <w:rPr>
                          <w:rFonts w:ascii="Cambria" w:eastAsia="Cambria" w:hAnsi="Cambria" w:cs="Cambria"/>
                          <w:i/>
                          <w:iCs/>
                          <w:color w:val="000000"/>
                          <w:sz w:val="16"/>
                        </w:rPr>
                        <w:t xml:space="preserve">; </w:t>
                      </w:r>
                    </w:p>
                    <w:p w14:paraId="4DF04144" w14:textId="77777777" w:rsidR="003E1808" w:rsidRDefault="003E1808">
                      <w:pPr>
                        <w:jc w:val="both"/>
                        <w:textDirection w:val="btLr"/>
                        <w:rPr>
                          <w:rFonts w:ascii="Cambria" w:eastAsia="Cambria" w:hAnsi="Cambria" w:cs="Cambria"/>
                          <w:i/>
                          <w:iCs/>
                          <w:color w:val="000000"/>
                          <w:sz w:val="16"/>
                        </w:rPr>
                      </w:pPr>
                      <w:r w:rsidRPr="003E1808">
                        <w:rPr>
                          <w:rFonts w:ascii="Cambria" w:eastAsia="Cambria" w:hAnsi="Cambria" w:cs="Cambria"/>
                          <w:i/>
                          <w:iCs/>
                          <w:color w:val="000000"/>
                          <w:sz w:val="16"/>
                        </w:rPr>
                        <w:t xml:space="preserve">Risk Priority Number; </w:t>
                      </w:r>
                    </w:p>
                    <w:p w14:paraId="081DD51F" w14:textId="50FE7C38" w:rsidR="00695CE7" w:rsidRDefault="003E1808">
                      <w:pPr>
                        <w:jc w:val="both"/>
                        <w:textDirection w:val="btLr"/>
                      </w:pPr>
                      <w:r w:rsidRPr="003E1808">
                        <w:rPr>
                          <w:rFonts w:ascii="Cambria" w:eastAsia="Cambria" w:hAnsi="Cambria" w:cs="Cambria"/>
                          <w:i/>
                          <w:iCs/>
                          <w:color w:val="000000"/>
                          <w:sz w:val="16"/>
                        </w:rPr>
                        <w:t>keselamatan proses</w:t>
                      </w:r>
                    </w:p>
                    <w:p w14:paraId="50804BEE" w14:textId="77777777" w:rsidR="00C11332" w:rsidRDefault="00C11332">
                      <w:pPr>
                        <w:textDirection w:val="btLr"/>
                        <w:rPr>
                          <w:rFonts w:ascii="Cambria" w:eastAsia="Cambria" w:hAnsi="Cambria" w:cs="Cambria"/>
                          <w:b/>
                          <w:i/>
                          <w:color w:val="000000"/>
                          <w:sz w:val="16"/>
                        </w:rPr>
                      </w:pPr>
                    </w:p>
                    <w:p w14:paraId="52FA076D" w14:textId="1CD27286" w:rsidR="00695CE7" w:rsidRDefault="002E5764">
                      <w:pPr>
                        <w:textDirection w:val="btLr"/>
                      </w:pPr>
                      <w:r>
                        <w:rPr>
                          <w:rFonts w:ascii="Cambria" w:eastAsia="Cambria" w:hAnsi="Cambria" w:cs="Cambria"/>
                          <w:b/>
                          <w:i/>
                          <w:color w:val="000000"/>
                          <w:sz w:val="16"/>
                        </w:rPr>
                        <w:t>Keywords:</w:t>
                      </w:r>
                    </w:p>
                    <w:p w14:paraId="58E7D117" w14:textId="77777777" w:rsidR="00F30806" w:rsidRDefault="00F30806">
                      <w:pPr>
                        <w:jc w:val="both"/>
                        <w:textDirection w:val="btLr"/>
                        <w:rPr>
                          <w:rFonts w:ascii="Cambria" w:eastAsia="Cambria" w:hAnsi="Cambria" w:cs="Cambria"/>
                          <w:i/>
                          <w:color w:val="000000"/>
                          <w:sz w:val="16"/>
                        </w:rPr>
                      </w:pPr>
                      <w:r w:rsidRPr="00F30806">
                        <w:rPr>
                          <w:rFonts w:ascii="Cambria" w:eastAsia="Cambria" w:hAnsi="Cambria" w:cs="Cambria"/>
                          <w:i/>
                          <w:color w:val="000000"/>
                          <w:sz w:val="16"/>
                        </w:rPr>
                        <w:t xml:space="preserve">overpressure; </w:t>
                      </w:r>
                    </w:p>
                    <w:p w14:paraId="3CA68FB3" w14:textId="77777777" w:rsidR="00F30806" w:rsidRDefault="00F30806">
                      <w:pPr>
                        <w:jc w:val="both"/>
                        <w:textDirection w:val="btLr"/>
                        <w:rPr>
                          <w:rFonts w:ascii="Cambria" w:eastAsia="Cambria" w:hAnsi="Cambria" w:cs="Cambria"/>
                          <w:i/>
                          <w:color w:val="000000"/>
                          <w:sz w:val="16"/>
                        </w:rPr>
                      </w:pPr>
                      <w:r w:rsidRPr="00F30806">
                        <w:rPr>
                          <w:rFonts w:ascii="Cambria" w:eastAsia="Cambria" w:hAnsi="Cambria" w:cs="Cambria"/>
                          <w:i/>
                          <w:color w:val="000000"/>
                          <w:sz w:val="16"/>
                        </w:rPr>
                        <w:t xml:space="preserve">Propylene Recovery Unit; </w:t>
                      </w:r>
                    </w:p>
                    <w:p w14:paraId="238A188C" w14:textId="77777777" w:rsidR="00F30806" w:rsidRDefault="00F30806">
                      <w:pPr>
                        <w:jc w:val="both"/>
                        <w:textDirection w:val="btLr"/>
                        <w:rPr>
                          <w:rFonts w:ascii="Cambria" w:eastAsia="Cambria" w:hAnsi="Cambria" w:cs="Cambria"/>
                          <w:i/>
                          <w:color w:val="000000"/>
                          <w:sz w:val="16"/>
                        </w:rPr>
                      </w:pPr>
                      <w:r w:rsidRPr="00F30806">
                        <w:rPr>
                          <w:rFonts w:ascii="Cambria" w:eastAsia="Cambria" w:hAnsi="Cambria" w:cs="Cambria"/>
                          <w:i/>
                          <w:color w:val="000000"/>
                          <w:sz w:val="16"/>
                        </w:rPr>
                        <w:t xml:space="preserve">FMEA; </w:t>
                      </w:r>
                    </w:p>
                    <w:p w14:paraId="3B48AC27" w14:textId="77777777" w:rsidR="00F30806" w:rsidRDefault="00F30806">
                      <w:pPr>
                        <w:jc w:val="both"/>
                        <w:textDirection w:val="btLr"/>
                        <w:rPr>
                          <w:rFonts w:ascii="Cambria" w:eastAsia="Cambria" w:hAnsi="Cambria" w:cs="Cambria"/>
                          <w:i/>
                          <w:color w:val="000000"/>
                          <w:sz w:val="16"/>
                        </w:rPr>
                      </w:pPr>
                      <w:r w:rsidRPr="00F30806">
                        <w:rPr>
                          <w:rFonts w:ascii="Cambria" w:eastAsia="Cambria" w:hAnsi="Cambria" w:cs="Cambria"/>
                          <w:i/>
                          <w:color w:val="000000"/>
                          <w:sz w:val="16"/>
                        </w:rPr>
                        <w:t xml:space="preserve">Risk Priority Number; </w:t>
                      </w:r>
                    </w:p>
                    <w:p w14:paraId="5CFBD542" w14:textId="03DC7387" w:rsidR="00695CE7" w:rsidRDefault="00F30806">
                      <w:pPr>
                        <w:jc w:val="both"/>
                        <w:textDirection w:val="btLr"/>
                      </w:pPr>
                      <w:r w:rsidRPr="00F30806">
                        <w:rPr>
                          <w:rFonts w:ascii="Cambria" w:eastAsia="Cambria" w:hAnsi="Cambria" w:cs="Cambria"/>
                          <w:i/>
                          <w:color w:val="000000"/>
                          <w:sz w:val="16"/>
                        </w:rPr>
                        <w:t>process safety</w:t>
                      </w:r>
                    </w:p>
                    <w:p w14:paraId="57C78860" w14:textId="77777777" w:rsidR="00695CE7" w:rsidRDefault="00695CE7">
                      <w:pPr>
                        <w:textDirection w:val="btLr"/>
                      </w:pPr>
                    </w:p>
                    <w:p w14:paraId="44907E21" w14:textId="77777777" w:rsidR="00C11332" w:rsidRDefault="00C11332">
                      <w:pPr>
                        <w:textDirection w:val="btLr"/>
                      </w:pPr>
                    </w:p>
                    <w:p w14:paraId="1CC7C23D" w14:textId="77777777" w:rsidR="00695CE7" w:rsidRDefault="002E5764">
                      <w:pPr>
                        <w:jc w:val="both"/>
                        <w:textDirection w:val="btLr"/>
                      </w:pPr>
                      <w:r>
                        <w:rPr>
                          <w:rFonts w:ascii="Cambria" w:eastAsia="Cambria" w:hAnsi="Cambria" w:cs="Cambria"/>
                          <w:i/>
                          <w:color w:val="000000"/>
                          <w:sz w:val="14"/>
                        </w:rPr>
                        <w:t xml:space="preserve">This is an open access article under the </w:t>
                      </w:r>
                      <w:r>
                        <w:rPr>
                          <w:rFonts w:ascii="Cambria" w:eastAsia="Cambria" w:hAnsi="Cambria" w:cs="Cambria"/>
                          <w:i/>
                          <w:color w:val="0000FF"/>
                          <w:sz w:val="14"/>
                          <w:u w:val="single"/>
                        </w:rPr>
                        <w:t>CC BY-SA</w:t>
                      </w:r>
                      <w:r>
                        <w:rPr>
                          <w:rFonts w:ascii="Cambria" w:eastAsia="Cambria" w:hAnsi="Cambria" w:cs="Cambria"/>
                          <w:i/>
                          <w:color w:val="000000"/>
                          <w:sz w:val="14"/>
                        </w:rPr>
                        <w:t xml:space="preserve"> license.</w:t>
                      </w:r>
                      <w:r>
                        <w:rPr>
                          <w:rFonts w:ascii="Cambria" w:eastAsia="Cambria" w:hAnsi="Cambria" w:cs="Cambria"/>
                          <w:color w:val="000000"/>
                          <w:sz w:val="14"/>
                        </w:rPr>
                        <w:t xml:space="preserve"> </w:t>
                      </w:r>
                    </w:p>
                    <w:p w14:paraId="36735F33" w14:textId="77777777" w:rsidR="00695CE7" w:rsidRDefault="002E5764">
                      <w:pPr>
                        <w:spacing w:before="60"/>
                        <w:textDirection w:val="btLr"/>
                      </w:pPr>
                      <w:r>
                        <w:rPr>
                          <w:rFonts w:ascii="Cambria" w:eastAsia="Cambria" w:hAnsi="Cambria" w:cs="Cambria"/>
                          <w:i/>
                          <w:color w:val="000000"/>
                          <w:sz w:val="14"/>
                        </w:rPr>
                        <w:t>Copyright © 2022  by Author. Published by Universitas PGRI ADI BUANA SURABAYA.</w:t>
                      </w:r>
                    </w:p>
                    <w:p w14:paraId="0317F47C" w14:textId="77777777" w:rsidR="00695CE7" w:rsidRDefault="00695CE7">
                      <w:pPr>
                        <w:textDirection w:val="btLr"/>
                      </w:pPr>
                    </w:p>
                  </w:txbxContent>
                </v:textbox>
                <w10:wrap type="square" anchorx="margin"/>
              </v:rect>
            </w:pict>
          </mc:Fallback>
        </mc:AlternateContent>
      </w:r>
      <w:r>
        <w:rPr>
          <w:b/>
        </w:rPr>
        <w:t>A B S T R A K</w:t>
      </w:r>
    </w:p>
    <w:p w14:paraId="0F11F64F" w14:textId="2DF85A86" w:rsidR="00695CE7" w:rsidRDefault="003E1808">
      <w:pPr>
        <w:tabs>
          <w:tab w:val="left" w:pos="2880"/>
        </w:tabs>
        <w:jc w:val="both"/>
        <w:rPr>
          <w:sz w:val="20"/>
          <w:szCs w:val="20"/>
        </w:rPr>
      </w:pPr>
      <w:r w:rsidRPr="003E1808">
        <w:rPr>
          <w:i/>
          <w:iCs/>
          <w:sz w:val="20"/>
          <w:szCs w:val="20"/>
        </w:rPr>
        <w:t>Propylene Recovery Unit</w:t>
      </w:r>
      <w:r w:rsidRPr="003E1808">
        <w:rPr>
          <w:sz w:val="20"/>
          <w:szCs w:val="20"/>
        </w:rPr>
        <w:t xml:space="preserve"> (PRU) memiliki risiko </w:t>
      </w:r>
      <w:r w:rsidRPr="003E1808">
        <w:rPr>
          <w:i/>
          <w:iCs/>
          <w:sz w:val="20"/>
          <w:szCs w:val="20"/>
        </w:rPr>
        <w:t>overpressure</w:t>
      </w:r>
      <w:r w:rsidRPr="003E1808">
        <w:rPr>
          <w:sz w:val="20"/>
          <w:szCs w:val="20"/>
        </w:rPr>
        <w:t xml:space="preserve"> akibat gangguan kontrol proses, kegagalan instrumentasi, kerusakan sistem proteksi tekanan, dan </w:t>
      </w:r>
      <w:r w:rsidRPr="003E1808">
        <w:rPr>
          <w:i/>
          <w:iCs/>
          <w:sz w:val="20"/>
          <w:szCs w:val="20"/>
        </w:rPr>
        <w:t>human error</w:t>
      </w:r>
      <w:r w:rsidRPr="003E1808">
        <w:rPr>
          <w:sz w:val="20"/>
          <w:szCs w:val="20"/>
        </w:rPr>
        <w:t xml:space="preserve">. Penelitian ini bertujuan menganalisis risiko </w:t>
      </w:r>
      <w:r w:rsidRPr="003E1808">
        <w:rPr>
          <w:i/>
          <w:iCs/>
          <w:sz w:val="20"/>
          <w:szCs w:val="20"/>
        </w:rPr>
        <w:t xml:space="preserve">overpressure </w:t>
      </w:r>
      <w:r w:rsidRPr="003E1808">
        <w:rPr>
          <w:sz w:val="20"/>
          <w:szCs w:val="20"/>
        </w:rPr>
        <w:t xml:space="preserve">pada PRU menggunakan </w:t>
      </w:r>
      <w:r w:rsidRPr="003E1808">
        <w:rPr>
          <w:i/>
          <w:iCs/>
          <w:sz w:val="20"/>
          <w:szCs w:val="20"/>
        </w:rPr>
        <w:t>Failure Mode and Effects Analysis</w:t>
      </w:r>
      <w:r w:rsidRPr="003E1808">
        <w:rPr>
          <w:sz w:val="20"/>
          <w:szCs w:val="20"/>
        </w:rPr>
        <w:t xml:space="preserve"> (FMEA). Data diperoleh melalui observasi proses, studi literatur, dan penilaian </w:t>
      </w:r>
      <w:r w:rsidRPr="00F30806">
        <w:rPr>
          <w:i/>
          <w:iCs/>
          <w:sz w:val="20"/>
          <w:szCs w:val="20"/>
        </w:rPr>
        <w:t>severity</w:t>
      </w:r>
      <w:r w:rsidRPr="003E1808">
        <w:rPr>
          <w:sz w:val="20"/>
          <w:szCs w:val="20"/>
        </w:rPr>
        <w:t xml:space="preserve">, </w:t>
      </w:r>
      <w:r w:rsidRPr="00F30806">
        <w:rPr>
          <w:i/>
          <w:iCs/>
          <w:sz w:val="20"/>
          <w:szCs w:val="20"/>
        </w:rPr>
        <w:t>occurrence</w:t>
      </w:r>
      <w:r w:rsidRPr="003E1808">
        <w:rPr>
          <w:sz w:val="20"/>
          <w:szCs w:val="20"/>
        </w:rPr>
        <w:t xml:space="preserve">, serta </w:t>
      </w:r>
      <w:r w:rsidRPr="00F30806">
        <w:rPr>
          <w:i/>
          <w:iCs/>
          <w:sz w:val="20"/>
          <w:szCs w:val="20"/>
        </w:rPr>
        <w:t>detection</w:t>
      </w:r>
      <w:r w:rsidRPr="003E1808">
        <w:rPr>
          <w:sz w:val="20"/>
          <w:szCs w:val="20"/>
        </w:rPr>
        <w:t xml:space="preserve"> pada komponen kritis. Delapan </w:t>
      </w:r>
      <w:r w:rsidRPr="00F30806">
        <w:rPr>
          <w:i/>
          <w:iCs/>
          <w:sz w:val="20"/>
          <w:szCs w:val="20"/>
        </w:rPr>
        <w:t>failure mode</w:t>
      </w:r>
      <w:r w:rsidRPr="003E1808">
        <w:rPr>
          <w:sz w:val="20"/>
          <w:szCs w:val="20"/>
        </w:rPr>
        <w:t xml:space="preserve"> diidentifikasi, yaitu tekanan kolom distilasi tidak terkontrol, PRV/PSV </w:t>
      </w:r>
      <w:r w:rsidRPr="00F30806">
        <w:rPr>
          <w:i/>
          <w:iCs/>
          <w:sz w:val="20"/>
          <w:szCs w:val="20"/>
        </w:rPr>
        <w:t>stuck</w:t>
      </w:r>
      <w:r w:rsidRPr="003E1808">
        <w:rPr>
          <w:sz w:val="20"/>
          <w:szCs w:val="20"/>
        </w:rPr>
        <w:t xml:space="preserve">, </w:t>
      </w:r>
      <w:r w:rsidRPr="00F30806">
        <w:rPr>
          <w:i/>
          <w:iCs/>
          <w:sz w:val="20"/>
          <w:szCs w:val="20"/>
        </w:rPr>
        <w:t>pressure transmitter error</w:t>
      </w:r>
      <w:r w:rsidRPr="003E1808">
        <w:rPr>
          <w:sz w:val="20"/>
          <w:szCs w:val="20"/>
        </w:rPr>
        <w:t xml:space="preserve">, </w:t>
      </w:r>
      <w:r w:rsidRPr="00F30806">
        <w:rPr>
          <w:i/>
          <w:iCs/>
          <w:sz w:val="20"/>
          <w:szCs w:val="20"/>
        </w:rPr>
        <w:t>control valve stuck</w:t>
      </w:r>
      <w:r w:rsidRPr="003E1808">
        <w:rPr>
          <w:sz w:val="20"/>
          <w:szCs w:val="20"/>
        </w:rPr>
        <w:t xml:space="preserve">, kebocoran pipa bertekanan, </w:t>
      </w:r>
      <w:r w:rsidRPr="00F30806">
        <w:rPr>
          <w:i/>
          <w:iCs/>
          <w:sz w:val="20"/>
          <w:szCs w:val="20"/>
        </w:rPr>
        <w:t>heat exchanger fouling</w:t>
      </w:r>
      <w:r w:rsidRPr="003E1808">
        <w:rPr>
          <w:sz w:val="20"/>
          <w:szCs w:val="20"/>
        </w:rPr>
        <w:t xml:space="preserve">, kegagalan HIPPS, dan </w:t>
      </w:r>
      <w:r w:rsidRPr="00F30806">
        <w:rPr>
          <w:i/>
          <w:iCs/>
          <w:sz w:val="20"/>
          <w:szCs w:val="20"/>
        </w:rPr>
        <w:t>human error</w:t>
      </w:r>
      <w:r w:rsidRPr="003E1808">
        <w:rPr>
          <w:sz w:val="20"/>
          <w:szCs w:val="20"/>
        </w:rPr>
        <w:t xml:space="preserve"> operasi. Hasil menunjukkan bahwa </w:t>
      </w:r>
      <w:r w:rsidRPr="00F30806">
        <w:rPr>
          <w:i/>
          <w:iCs/>
          <w:sz w:val="20"/>
          <w:szCs w:val="20"/>
        </w:rPr>
        <w:t>human error</w:t>
      </w:r>
      <w:r w:rsidRPr="003E1808">
        <w:rPr>
          <w:sz w:val="20"/>
          <w:szCs w:val="20"/>
        </w:rPr>
        <w:t xml:space="preserve"> operasi memiliki RPN tertinggi sebesar 280, diikuti </w:t>
      </w:r>
      <w:r w:rsidRPr="00F30806">
        <w:rPr>
          <w:i/>
          <w:iCs/>
          <w:sz w:val="20"/>
          <w:szCs w:val="20"/>
        </w:rPr>
        <w:t>pressure transmitter error</w:t>
      </w:r>
      <w:r w:rsidRPr="003E1808">
        <w:rPr>
          <w:sz w:val="20"/>
          <w:szCs w:val="20"/>
        </w:rPr>
        <w:t xml:space="preserve"> sebesar 245, PRV/PSV </w:t>
      </w:r>
      <w:r w:rsidRPr="00F30806">
        <w:rPr>
          <w:i/>
          <w:iCs/>
          <w:sz w:val="20"/>
          <w:szCs w:val="20"/>
        </w:rPr>
        <w:t>stuck</w:t>
      </w:r>
      <w:r w:rsidRPr="003E1808">
        <w:rPr>
          <w:sz w:val="20"/>
          <w:szCs w:val="20"/>
        </w:rPr>
        <w:t xml:space="preserve"> sebesar 240, dan </w:t>
      </w:r>
      <w:r w:rsidRPr="00F30806">
        <w:rPr>
          <w:i/>
          <w:iCs/>
          <w:sz w:val="20"/>
          <w:szCs w:val="20"/>
        </w:rPr>
        <w:t>control valve stuck</w:t>
      </w:r>
      <w:r w:rsidRPr="003E1808">
        <w:rPr>
          <w:sz w:val="20"/>
          <w:szCs w:val="20"/>
        </w:rPr>
        <w:t xml:space="preserve"> sebesar 240. Temuan ini menunjukkan bahwa risiko </w:t>
      </w:r>
      <w:r w:rsidRPr="00F30806">
        <w:rPr>
          <w:i/>
          <w:iCs/>
          <w:sz w:val="20"/>
          <w:szCs w:val="20"/>
        </w:rPr>
        <w:t>overpressure</w:t>
      </w:r>
      <w:r w:rsidRPr="003E1808">
        <w:rPr>
          <w:sz w:val="20"/>
          <w:szCs w:val="20"/>
        </w:rPr>
        <w:t xml:space="preserve"> dipengaruhi oleh kombinasi faktor manusia, instrumentasi, proteksi tekanan, dan kontrol proses. Rekomendasi mitigasi diarahkan pada pelatihan operator, kalibrasi instrumentasi, pengujian PRV/PSV, dan perbaikan </w:t>
      </w:r>
      <w:r w:rsidRPr="00F30806">
        <w:rPr>
          <w:i/>
          <w:iCs/>
          <w:sz w:val="20"/>
          <w:szCs w:val="20"/>
        </w:rPr>
        <w:t>control valve</w:t>
      </w:r>
      <w:r w:rsidRPr="003E1808">
        <w:rPr>
          <w:sz w:val="20"/>
          <w:szCs w:val="20"/>
        </w:rPr>
        <w:t>.</w:t>
      </w:r>
    </w:p>
    <w:p w14:paraId="3F22EB79" w14:textId="77777777" w:rsidR="00695CE7" w:rsidRDefault="00695CE7">
      <w:pPr>
        <w:tabs>
          <w:tab w:val="left" w:pos="2880"/>
        </w:tabs>
        <w:jc w:val="both"/>
        <w:rPr>
          <w:sz w:val="18"/>
          <w:szCs w:val="18"/>
        </w:rPr>
      </w:pPr>
    </w:p>
    <w:p w14:paraId="39B05254" w14:textId="77777777" w:rsidR="00695CE7" w:rsidRDefault="002E5764">
      <w:pPr>
        <w:tabs>
          <w:tab w:val="left" w:pos="2880"/>
        </w:tabs>
        <w:jc w:val="both"/>
        <w:rPr>
          <w:b/>
          <w:i/>
        </w:rPr>
      </w:pPr>
      <w:r>
        <w:rPr>
          <w:sz w:val="18"/>
          <w:szCs w:val="18"/>
        </w:rPr>
        <w:t xml:space="preserve"> </w:t>
      </w:r>
      <w:r>
        <w:rPr>
          <w:b/>
          <w:i/>
        </w:rPr>
        <w:t>A B S T R A C T</w:t>
      </w:r>
    </w:p>
    <w:p w14:paraId="3C534465" w14:textId="33808A53" w:rsidR="00695CE7" w:rsidRDefault="003E1808">
      <w:pPr>
        <w:pBdr>
          <w:top w:val="single" w:sz="4" w:space="1" w:color="000000"/>
          <w:bottom w:val="single" w:sz="4" w:space="1" w:color="000000"/>
        </w:pBdr>
        <w:jc w:val="both"/>
        <w:rPr>
          <w:i/>
          <w:sz w:val="20"/>
          <w:szCs w:val="20"/>
        </w:rPr>
      </w:pPr>
      <w:r w:rsidRPr="003E1808">
        <w:rPr>
          <w:i/>
          <w:sz w:val="20"/>
          <w:szCs w:val="20"/>
        </w:rPr>
        <w:t>The Propylene Recovery Unit (PRU) is exposed to overpressure risk caused by process control disturbances, instrumentation failures, pressure protection failures, and human error. This study aimed to analyze overpressure risk in a PRU using Failure Mode and Effects Analysis (FMEA). Data were obtained through process observation, literature review, and severity, occurrence, and detection assessment of critical components. Eight failure modes were identified: uncontrolled distillation column pressure, stuck PRV/PSV, pressure transmitter error, stuck control valve, pressurized pipe leakage, heat exchanger fouling, HIPPS failure, and operational human error. The results showed that operational human error had the highest RPN of 280, followed by pressure transmitter error with 245, stuck PRV/PSV with 240, and stuck control valve with 240. These findings indicate that overpressure risk is influenced by human factors, instrumentation reliability, pressure protection, and process control performance. Recommended mitigations include operator training, instrumentation calibration, PRV/PSV testing, and control valve improvement.</w:t>
      </w:r>
      <w:r w:rsidR="00730B2B" w:rsidRPr="00730B2B">
        <w:rPr>
          <w:i/>
          <w:sz w:val="20"/>
          <w:szCs w:val="20"/>
        </w:rPr>
        <w:t>.</w:t>
      </w:r>
    </w:p>
    <w:p w14:paraId="6173B566" w14:textId="77777777" w:rsidR="00695CE7" w:rsidRDefault="00695CE7">
      <w:pPr>
        <w:jc w:val="both"/>
        <w:rPr>
          <w:sz w:val="18"/>
          <w:szCs w:val="18"/>
        </w:rPr>
      </w:pPr>
    </w:p>
    <w:p w14:paraId="55D24B6F" w14:textId="77777777" w:rsidR="00695CE7" w:rsidRDefault="00695CE7">
      <w:pPr>
        <w:pBdr>
          <w:top w:val="nil"/>
          <w:left w:val="nil"/>
          <w:bottom w:val="nil"/>
          <w:right w:val="nil"/>
          <w:between w:val="nil"/>
        </w:pBdr>
        <w:rPr>
          <w:b/>
          <w:color w:val="000000"/>
          <w:sz w:val="20"/>
          <w:szCs w:val="20"/>
        </w:rPr>
      </w:pPr>
    </w:p>
    <w:p w14:paraId="7FA4D4B6" w14:textId="5D41431C" w:rsidR="00695CE7" w:rsidRDefault="00106295">
      <w:pPr>
        <w:pStyle w:val="Heading1"/>
        <w:numPr>
          <w:ilvl w:val="0"/>
          <w:numId w:val="6"/>
        </w:numPr>
        <w:spacing w:before="0" w:after="120"/>
        <w:ind w:left="426" w:hanging="426"/>
        <w:rPr>
          <w:rFonts w:ascii="Times New Roman" w:hAnsi="Times New Roman"/>
          <w:sz w:val="24"/>
          <w:szCs w:val="24"/>
        </w:rPr>
      </w:pPr>
      <w:r>
        <w:rPr>
          <w:rFonts w:ascii="Times New Roman" w:hAnsi="Times New Roman"/>
          <w:sz w:val="24"/>
          <w:szCs w:val="24"/>
          <w:lang w:val="en-US"/>
        </w:rPr>
        <w:t>PENDAHULUAN</w:t>
      </w:r>
    </w:p>
    <w:p w14:paraId="00524D06" w14:textId="7B3CCFBF" w:rsidR="001C7194" w:rsidRPr="001C7194" w:rsidRDefault="001C7194" w:rsidP="001C7194">
      <w:pPr>
        <w:widowControl w:val="0"/>
        <w:ind w:firstLine="426"/>
        <w:jc w:val="both"/>
        <w:rPr>
          <w:color w:val="000000" w:themeColor="text1"/>
          <w:sz w:val="22"/>
          <w:szCs w:val="22"/>
        </w:rPr>
      </w:pPr>
      <w:r w:rsidRPr="001C7194">
        <w:rPr>
          <w:i/>
          <w:iCs/>
          <w:color w:val="000000" w:themeColor="text1"/>
          <w:sz w:val="22"/>
          <w:szCs w:val="22"/>
        </w:rPr>
        <w:t>Propylene Recovery Unit</w:t>
      </w:r>
      <w:r w:rsidRPr="001C7194">
        <w:rPr>
          <w:color w:val="000000" w:themeColor="text1"/>
          <w:sz w:val="22"/>
          <w:szCs w:val="22"/>
        </w:rPr>
        <w:t xml:space="preserve"> (PRU) bekerja sebagai unit pemisahan fraksi C3/C4 yang menghasilkan </w:t>
      </w:r>
      <w:r w:rsidRPr="001C7194">
        <w:rPr>
          <w:i/>
          <w:iCs/>
          <w:color w:val="000000" w:themeColor="text1"/>
          <w:sz w:val="22"/>
          <w:szCs w:val="22"/>
        </w:rPr>
        <w:t>propylene</w:t>
      </w:r>
      <w:r w:rsidRPr="001C7194">
        <w:rPr>
          <w:color w:val="000000" w:themeColor="text1"/>
          <w:sz w:val="22"/>
          <w:szCs w:val="22"/>
        </w:rPr>
        <w:t xml:space="preserve"> dengan kemurnian tinggi melalui rangkaian kolom, </w:t>
      </w:r>
      <w:r w:rsidRPr="001C7194">
        <w:rPr>
          <w:i/>
          <w:iCs/>
          <w:color w:val="000000" w:themeColor="text1"/>
          <w:sz w:val="22"/>
          <w:szCs w:val="22"/>
        </w:rPr>
        <w:t>heat exchanger</w:t>
      </w:r>
      <w:r w:rsidRPr="001C7194">
        <w:rPr>
          <w:color w:val="000000" w:themeColor="text1"/>
          <w:sz w:val="22"/>
          <w:szCs w:val="22"/>
        </w:rPr>
        <w:t xml:space="preserve">, pompa, sistem kontrol, dan perangkat proteksi tekanan. Operasi unit ini sangat bergantung pada kestabilan tekanan karena </w:t>
      </w:r>
      <w:r w:rsidRPr="001C7194">
        <w:rPr>
          <w:i/>
          <w:iCs/>
          <w:color w:val="000000" w:themeColor="text1"/>
          <w:sz w:val="22"/>
          <w:szCs w:val="22"/>
        </w:rPr>
        <w:t>propylene</w:t>
      </w:r>
      <w:r w:rsidRPr="001C7194">
        <w:rPr>
          <w:color w:val="000000" w:themeColor="text1"/>
          <w:sz w:val="22"/>
          <w:szCs w:val="22"/>
        </w:rPr>
        <w:t xml:space="preserve"> berada dalam sistem hidrokarbon ringan yang mudah terbakar, bertekanan, dan sensitif terhadap perubahan temperatur, laju alir, serta respons instrumentasi. Ketika tekanan proses tidak terkendali, deviasi tersebut dapat berkembang menjadi </w:t>
      </w:r>
      <w:r w:rsidRPr="001C7194">
        <w:rPr>
          <w:i/>
          <w:iCs/>
          <w:color w:val="000000" w:themeColor="text1"/>
          <w:sz w:val="22"/>
          <w:szCs w:val="22"/>
        </w:rPr>
        <w:t>overpressure</w:t>
      </w:r>
      <w:r w:rsidRPr="001C7194">
        <w:rPr>
          <w:color w:val="000000" w:themeColor="text1"/>
          <w:sz w:val="22"/>
          <w:szCs w:val="22"/>
        </w:rPr>
        <w:t xml:space="preserve"> yang menurunkan kestabilan operasi, mendorong pelepasan produk ke </w:t>
      </w:r>
      <w:r w:rsidRPr="001C7194">
        <w:rPr>
          <w:i/>
          <w:iCs/>
          <w:color w:val="000000" w:themeColor="text1"/>
          <w:sz w:val="22"/>
          <w:szCs w:val="22"/>
        </w:rPr>
        <w:t>flare system</w:t>
      </w:r>
      <w:r w:rsidRPr="001C7194">
        <w:rPr>
          <w:color w:val="000000" w:themeColor="text1"/>
          <w:sz w:val="22"/>
          <w:szCs w:val="22"/>
        </w:rPr>
        <w:t xml:space="preserve">, merusak peralatan, dan meningkatkan potensi </w:t>
      </w:r>
      <w:r w:rsidRPr="001C7194">
        <w:rPr>
          <w:i/>
          <w:iCs/>
          <w:color w:val="000000" w:themeColor="text1"/>
          <w:sz w:val="22"/>
          <w:szCs w:val="22"/>
        </w:rPr>
        <w:t>loss of containment</w:t>
      </w:r>
      <w:r w:rsidRPr="001C7194">
        <w:rPr>
          <w:color w:val="000000" w:themeColor="text1"/>
          <w:sz w:val="22"/>
          <w:szCs w:val="22"/>
        </w:rPr>
        <w:t xml:space="preserve">. </w:t>
      </w:r>
      <w:r w:rsidRPr="001C7194">
        <w:rPr>
          <w:i/>
          <w:iCs/>
          <w:color w:val="000000" w:themeColor="text1"/>
          <w:sz w:val="22"/>
          <w:szCs w:val="22"/>
        </w:rPr>
        <w:t>High pressure failure</w:t>
      </w:r>
      <w:r w:rsidRPr="001C7194">
        <w:rPr>
          <w:color w:val="000000" w:themeColor="text1"/>
          <w:sz w:val="22"/>
          <w:szCs w:val="22"/>
        </w:rPr>
        <w:t xml:space="preserve"> dijelaskan sebagai kondisi ketika tekanan pada PRU </w:t>
      </w:r>
      <w:r w:rsidRPr="001C7194">
        <w:rPr>
          <w:color w:val="000000" w:themeColor="text1"/>
          <w:sz w:val="22"/>
          <w:szCs w:val="22"/>
        </w:rPr>
        <w:lastRenderedPageBreak/>
        <w:t xml:space="preserve">melampaui batas aman operasi dan berpotensi menyebabkan kerusakan peralatan, kebocoran, atau kecelakaan proses . Posisi PRU sebagai unit penghasil </w:t>
      </w:r>
      <w:r w:rsidRPr="001C7194">
        <w:rPr>
          <w:i/>
          <w:iCs/>
          <w:color w:val="000000" w:themeColor="text1"/>
          <w:sz w:val="22"/>
          <w:szCs w:val="22"/>
        </w:rPr>
        <w:t>propylene high purity</w:t>
      </w:r>
      <w:r w:rsidRPr="001C7194">
        <w:rPr>
          <w:color w:val="000000" w:themeColor="text1"/>
          <w:sz w:val="22"/>
          <w:szCs w:val="22"/>
        </w:rPr>
        <w:t xml:space="preserve"> juga membuat gangguan tekanan tidak hanya berdampak pada keselamatan, tetapi juga pada kontinuitas produksi dan efisiensi pemulihan produk .</w:t>
      </w:r>
    </w:p>
    <w:p w14:paraId="67BD45CD" w14:textId="7C2C22A1" w:rsidR="001C7194" w:rsidRPr="001C7194" w:rsidRDefault="001C7194" w:rsidP="001C7194">
      <w:pPr>
        <w:widowControl w:val="0"/>
        <w:ind w:firstLine="426"/>
        <w:jc w:val="both"/>
        <w:rPr>
          <w:color w:val="000000" w:themeColor="text1"/>
          <w:sz w:val="22"/>
          <w:szCs w:val="22"/>
        </w:rPr>
      </w:pPr>
      <w:r w:rsidRPr="001C7194">
        <w:rPr>
          <w:i/>
          <w:iCs/>
          <w:color w:val="000000" w:themeColor="text1"/>
          <w:sz w:val="22"/>
          <w:szCs w:val="22"/>
        </w:rPr>
        <w:t>Overpressure</w:t>
      </w:r>
      <w:r w:rsidRPr="001C7194">
        <w:rPr>
          <w:color w:val="000000" w:themeColor="text1"/>
          <w:sz w:val="22"/>
          <w:szCs w:val="22"/>
        </w:rPr>
        <w:t xml:space="preserve"> pada sistem proses jarang berdiri sebagai kejadian tunggal. Kondisi tersebut biasanya terbentuk dari rangkaian kegagalan teknis dan operasional, seperti tekanan kolom yang tidak terkendali, </w:t>
      </w:r>
      <w:r w:rsidRPr="001C7194">
        <w:rPr>
          <w:i/>
          <w:iCs/>
          <w:color w:val="000000" w:themeColor="text1"/>
          <w:sz w:val="22"/>
          <w:szCs w:val="22"/>
        </w:rPr>
        <w:t>pressure relief valve</w:t>
      </w:r>
      <w:r w:rsidRPr="001C7194">
        <w:rPr>
          <w:color w:val="000000" w:themeColor="text1"/>
          <w:sz w:val="22"/>
          <w:szCs w:val="22"/>
        </w:rPr>
        <w:t xml:space="preserve"> yang gagal membuka, transmitter yang membaca tekanan secara tidak akurat, </w:t>
      </w:r>
      <w:r w:rsidRPr="001C7194">
        <w:rPr>
          <w:i/>
          <w:iCs/>
          <w:color w:val="000000" w:themeColor="text1"/>
          <w:sz w:val="22"/>
          <w:szCs w:val="22"/>
        </w:rPr>
        <w:t>control valve yang stuck</w:t>
      </w:r>
      <w:r w:rsidRPr="001C7194">
        <w:rPr>
          <w:color w:val="000000" w:themeColor="text1"/>
          <w:sz w:val="22"/>
          <w:szCs w:val="22"/>
        </w:rPr>
        <w:t xml:space="preserve">, </w:t>
      </w:r>
      <w:r w:rsidRPr="001C7194">
        <w:rPr>
          <w:i/>
          <w:iCs/>
          <w:color w:val="000000" w:themeColor="text1"/>
          <w:sz w:val="22"/>
          <w:szCs w:val="22"/>
        </w:rPr>
        <w:t>fouling</w:t>
      </w:r>
      <w:r w:rsidRPr="001C7194">
        <w:rPr>
          <w:color w:val="000000" w:themeColor="text1"/>
          <w:sz w:val="22"/>
          <w:szCs w:val="22"/>
        </w:rPr>
        <w:t xml:space="preserve"> pada </w:t>
      </w:r>
      <w:r w:rsidRPr="001C7194">
        <w:rPr>
          <w:i/>
          <w:iCs/>
          <w:color w:val="000000" w:themeColor="text1"/>
          <w:sz w:val="22"/>
          <w:szCs w:val="22"/>
        </w:rPr>
        <w:t>heat exchanger</w:t>
      </w:r>
      <w:r w:rsidRPr="001C7194">
        <w:rPr>
          <w:color w:val="000000" w:themeColor="text1"/>
          <w:sz w:val="22"/>
          <w:szCs w:val="22"/>
        </w:rPr>
        <w:t xml:space="preserve">, kebocoran pipa bertekanan, kegagalan HIPPS, atau keterlambatan respon operator. Kajian keselamatan proses mutakhir menempatkan kecelakaan industri sebagai hasil interaksi antara kegagalan komponen, abnormalitas operasi, dan penurunan fungsi proteksi sistem, bukan hanya akibat kerusakan peralatan tunggal </w:t>
      </w:r>
      <w:r w:rsidR="000F2913">
        <w:rPr>
          <w:color w:val="000000" w:themeColor="text1"/>
          <w:sz w:val="22"/>
          <w:szCs w:val="22"/>
        </w:rPr>
        <w:fldChar w:fldCharType="begin" w:fldLock="1"/>
      </w:r>
      <w:r w:rsidR="000F2913">
        <w:rPr>
          <w:color w:val="000000" w:themeColor="text1"/>
          <w:sz w:val="22"/>
          <w:szCs w:val="22"/>
        </w:rPr>
        <w:instrText>ADDIN CSL_CITATION {"citationItems":[{"id":"ITEM-1","itemData":{"DOI":"10.3390/pr11082454","author":[{"dropping-particle":"","family":"Zhang","given":"J","non-dropping-particle":"","parse-names":false,"suffix":""},{"dropping-particle":"","family":"Ren","given":"H","non-dropping-particle":"","parse-names":false,"suffix":""},{"dropping-particle":"","family":"Ren","given":"H","non-dropping-particle":"","parse-names":false,"suffix":""},{"dropping-particle":"","family":"Chai","given":"Y","non-dropping-particle":"","parse-names":false,"suffix":""},{"dropping-particle":"","family":"Liu","given":"Z","non-dropping-particle":"","parse-names":false,"suffix":""},{"dropping-particle":"","family":"Liang","given":"X","non-dropping-particle":"","parse-names":false,"suffix":""}],"container-title":"Processes","id":"ITEM-1","issue":"8","issued":{"date-parts":[["2023"]]},"page":"2454","title":"Comprehensive Review of Safety Studies in Process Industrial Systems: Concepts, Progress, and Main Research Topics","type":"article-journal","volume":"11"},"uris":["http://www.mendeley.com/documents/?uuid=e8b09315-b332-4c4c-882a-f5b8473909c4"]},{"id":"ITEM-2","itemData":{"DOI":"10.21070/prozima.v6i2.1580","abstract":"Surabaya locomotive warehouse is one part of the company PT. Kereta Api Indonesia (Persero) as a place to store spare parts for repair and maintenance purposes, especially locomotives. The implementation of these inspections and repairs, of course, requires spare parts to facilitate the maintenance process which generally spare parts are placed in storage or warehouses. The problem in the Surabaya locomotive warehouse is that the arrangement of spare parts for bin boxes for each type of group is not always fixed so that the search becomes a bit hampered. This study aims to review the repair of bin box spare parts placement on a regular basis by using the First-In First-Out (FIFO) approach to sort bin box spare parts based on their movement flow. Based on the results of the analysis, the classification of bin boxes in each type of spare parts rack group based on the flow of movement in sequence is fast moving, medium moving, and slow moving. In the fast moving spare parts bin boxes are placed on the bottom row of shelves, bin boxes that have medium moving spare parts are placed on the second and third rows of shelves. Meanwhile, bin boxes that have slow-moving spare parts will be placed on the top shelf. After classifying the spare parts in the bin box, an addressing area is made on each row of the rack to determine the location of the spare part position.","author":[{"dropping-particle":"","family":"Jumali","given":"Muhamad Abdul","non-dropping-particle":"","parse-names":false,"suffix":""},{"dropping-particle":"","family":"Rusdiyantoro","given":"","non-dropping-particle":"","parse-names":false,"suffix":""},{"dropping-particle":"","family":"Maulidah","given":"Alfi Rohmatil","non-dropping-particle":"","parse-names":false,"suffix":""},{"dropping-particle":"","family":"Utomo","given":"Yitno","non-dropping-particle":"","parse-names":false,"suffix":""}],"container-title":"PROZIMA (Productivity, Optimization and Manufacturing System Engineering)","id":"ITEM-2","issue":"2 SE  - Articles","issued":{"date-parts":[["2023","1","16"]]},"title":"Rearranging First-In First-Out (FIFO) Parts Layouts","type":"article-journal","volume":"6"},"uris":["http://www.mendeley.com/documents/?uuid=05e8bf2e-5871-4456-a6c3-5cdcff0bcb85"]}],"mendeley":{"formattedCitation":"[1], [2]","plainTextFormattedCitation":"[1], [2]","previouslyFormattedCitation":"[1], [2]"},"properties":{"noteIndex":0},"schema":"https://github.com/citation-style-language/schema/raw/master/csl-citation.json"}</w:instrText>
      </w:r>
      <w:r w:rsidR="000F2913">
        <w:rPr>
          <w:color w:val="000000" w:themeColor="text1"/>
          <w:sz w:val="22"/>
          <w:szCs w:val="22"/>
        </w:rPr>
        <w:fldChar w:fldCharType="separate"/>
      </w:r>
      <w:r w:rsidR="000F2913" w:rsidRPr="000F2913">
        <w:rPr>
          <w:noProof/>
          <w:color w:val="000000" w:themeColor="text1"/>
          <w:sz w:val="22"/>
          <w:szCs w:val="22"/>
        </w:rPr>
        <w:t>[1], [2]</w:t>
      </w:r>
      <w:r w:rsidR="000F2913">
        <w:rPr>
          <w:color w:val="000000" w:themeColor="text1"/>
          <w:sz w:val="22"/>
          <w:szCs w:val="22"/>
        </w:rPr>
        <w:fldChar w:fldCharType="end"/>
      </w:r>
      <w:r w:rsidRPr="001C7194">
        <w:rPr>
          <w:color w:val="000000" w:themeColor="text1"/>
          <w:sz w:val="22"/>
          <w:szCs w:val="22"/>
        </w:rPr>
        <w:t xml:space="preserve">. Pada sistem bertekanan, keandalan </w:t>
      </w:r>
      <w:r w:rsidRPr="001C7194">
        <w:rPr>
          <w:i/>
          <w:iCs/>
          <w:color w:val="000000" w:themeColor="text1"/>
          <w:sz w:val="22"/>
          <w:szCs w:val="22"/>
        </w:rPr>
        <w:t>barrier</w:t>
      </w:r>
      <w:r w:rsidRPr="001C7194">
        <w:rPr>
          <w:color w:val="000000" w:themeColor="text1"/>
          <w:sz w:val="22"/>
          <w:szCs w:val="22"/>
        </w:rPr>
        <w:t xml:space="preserve"> menjadi penentu penting karena status </w:t>
      </w:r>
      <w:r w:rsidRPr="001C7194">
        <w:rPr>
          <w:i/>
          <w:iCs/>
          <w:color w:val="000000" w:themeColor="text1"/>
          <w:sz w:val="22"/>
          <w:szCs w:val="22"/>
        </w:rPr>
        <w:t>barrier</w:t>
      </w:r>
      <w:r w:rsidRPr="001C7194">
        <w:rPr>
          <w:color w:val="000000" w:themeColor="text1"/>
          <w:sz w:val="22"/>
          <w:szCs w:val="22"/>
        </w:rPr>
        <w:t xml:space="preserve"> dapat menunjukkan perkembangan skenario kecelakaan dan kemungkinan terjadinya </w:t>
      </w:r>
      <w:r w:rsidRPr="001C7194">
        <w:rPr>
          <w:i/>
          <w:iCs/>
          <w:color w:val="000000" w:themeColor="text1"/>
          <w:sz w:val="22"/>
          <w:szCs w:val="22"/>
        </w:rPr>
        <w:t>central event</w:t>
      </w:r>
      <w:r w:rsidRPr="001C7194">
        <w:rPr>
          <w:color w:val="000000" w:themeColor="text1"/>
          <w:sz w:val="22"/>
          <w:szCs w:val="22"/>
        </w:rPr>
        <w:t xml:space="preserve"> </w:t>
      </w:r>
      <w:r w:rsidR="000F2913">
        <w:rPr>
          <w:color w:val="000000" w:themeColor="text1"/>
          <w:sz w:val="22"/>
          <w:szCs w:val="22"/>
        </w:rPr>
        <w:fldChar w:fldCharType="begin" w:fldLock="1"/>
      </w:r>
      <w:r w:rsidR="000F2913">
        <w:rPr>
          <w:color w:val="000000" w:themeColor="text1"/>
          <w:sz w:val="22"/>
          <w:szCs w:val="22"/>
        </w:rPr>
        <w:instrText>ADDIN CSL_CITATION {"citationItems":[{"id":"ITEM-1","itemData":{"abstract":"Tujuan dari artikelini untuk mengidentifikasi penyebab resiko pada perusahaan terkait budaya keselamatan berdasarkan pendekatan proses produksi. Metode yang digunakan adalaheksplorasi beberapa data dari sebuah perusahaan X diSurabaya, dikhususkan pada departemen Produksi. Selanjutnya didiskusikan dengan para pimpinan dan yang terkait dengan kinerja produksi.Hasil menunjukkan bahwa penyebab resiko yang dapat membahayakan keselamatan pekerja produksi, dan kebijakan peningkatan kinerja produksi selama ini belum mengedepankan keselamatanpekerja, sehingga dibutuhkan komitmen baru dalam hal keselamatan pekerja. Reorientasi kepemimpinan dalam mengedepankan keselamatan sangat dibutuhkan dalam pembentukan perilaku dan budaya keselamatan di dunia industri. Reorientasi tersebut dilakukan melalui komitmen keselamatan pada level individu, level aturan dan level manajemen.","author":[{"dropping-particle":"","family":"Jumali","given":"Muhamad Abdul","non-dropping-particle":"","parse-names":false,"suffix":""},{"dropping-particle":"","family":"Utomo","given":"Eko Budi","non-dropping-particle":"","parse-names":false,"suffix":""}],"container-title":"Jurnal Teknik WAKTU","id":"ITEM-1","issue":"2","issued":{"date-parts":[["2018"]]},"page":"36-46","title":"CHANGE-ORIENTED LEADERSHIP : SAFETY COMMITMENT OR PERFORMANCE BEHAVIOR","type":"article-journal","volume":"16"},"uris":["http://www.mendeley.com/documents/?uuid=d3e4e9f1-283a-4a63-908f-79048ad1250b"]},{"id":"ITEM-2","itemData":{"DOI":"10.1016/j.jlp.2021.104519","author":[{"dropping-particle":"","family":"Schmitz","given":"Paul","non-dropping-particle":"","parse-names":false,"suffix":""},{"dropping-particle":"","family":"Swuste","given":"Paul","non-dropping-particle":"","parse-names":false,"suffix":""},{"dropping-particle":"","family":"Reniers","given":"Genserik","non-dropping-particle":"","parse-names":false,"suffix":""},{"dropping-particle":"","family":"Nunen","given":"Karolien","non-dropping-particle":"van","parse-names":false,"suffix":""}],"container-title":"Journal of Loss Prevention in the Process Industries","id":"ITEM-2","issued":{"date-parts":[["2021"]]},"page":"104519","title":"Predicting Major Accidents in the Process Industry Based on the Barrier Status at Scenario Level: A Practical Approach","type":"article-journal","volume":"71"},"uris":["http://www.mendeley.com/documents/?uuid=c9386b65-2aa2-4da0-9c6e-46da14714077"]},{"id":"ITEM-3","itemData":{"DOI":"10.36456/tibuana.8.1.9978.9-14","ISSN":"2622-2027","abstract":"Keselamatan dan kesehatan kerja (K3) sangat penting bagi perusahaan untuk meminimalkan kecelakaan kerja dan risiko kesehatan. Namun, banyak karyawan di sektor pengelasan sering mengabaikan aspek-aspek ini, yang mengarah pada potensi bahaya. Penelitian ini mengkaji penerapan praktik K3 di departemen pengelasan perusahaan manufaktur besi di Surabaya dengan menggunakan metode Job Safety Analysis (JSA). Data dikumpulkan dari 35 responden melalui wawancara, observasi, dan dokumentasi insiden masa lalu. Hasilnya menyoroti bahaya umum, termasuk paparan ultraviolet yang merusak mata dan kulit, asap las yang menyebabkan masalah pernapasan, sengatan listrik yang menyebabkan cedera atau kematian, dan benturan fisik dari material tajam atau berat. Untuk mengurangi risiko ini, kepatuhan terhadap prosedur operasi standar (SOP) dan penggunaan alat pelindung diri (APD) yang lengkap sangat penting. Penelitian ini menekankan pentingnya kesadaran K3 dan kepatuhan terhadap protokol keselamatan untuk meningkatkan keselamatan dan produktivitas tempat kerja.","author":[{"dropping-particle":"","family":"Jumali","given":"Muhamad Abdul","non-dropping-particle":"","parse-names":false,"suffix":""},{"dropping-particle":"","family":"Rusdiyantoro","given":"","non-dropping-particle":"","parse-names":false,"suffix":""},{"dropping-particle":"","family":"Yitno Utomo","given":"","non-dropping-particle":"","parse-names":false,"suffix":""},{"dropping-particle":"","family":"Moch. Fatur Aangga Pratama","given":"","non-dropping-particle":"","parse-names":false,"suffix":""},{"dropping-particle":"","family":"Harno Suntoko","given":"","non-dropping-particle":"","parse-names":false,"suffix":""}],"container-title":"Tibuana","id":"ITEM-3","issue":"1","issued":{"date-parts":[["2025"]]},"page":"9-14","title":"Implementation of Workplace Safety in the Welding Industry: Challenges and Solutions","type":"article-journal","volume":"8"},"uris":["http://www.mendeley.com/documents/?uuid=a8b38fff-d251-422a-bb60-e2049fc20a3e"]}],"mendeley":{"formattedCitation":"[3]–[5]","plainTextFormattedCitation":"[3]–[5]","previouslyFormattedCitation":"[3]–[5]"},"properties":{"noteIndex":0},"schema":"https://github.com/citation-style-language/schema/raw/master/csl-citation.json"}</w:instrText>
      </w:r>
      <w:r w:rsidR="000F2913">
        <w:rPr>
          <w:color w:val="000000" w:themeColor="text1"/>
          <w:sz w:val="22"/>
          <w:szCs w:val="22"/>
        </w:rPr>
        <w:fldChar w:fldCharType="separate"/>
      </w:r>
      <w:r w:rsidR="000F2913" w:rsidRPr="000F2913">
        <w:rPr>
          <w:noProof/>
          <w:color w:val="000000" w:themeColor="text1"/>
          <w:sz w:val="22"/>
          <w:szCs w:val="22"/>
        </w:rPr>
        <w:t>[3]–[5]</w:t>
      </w:r>
      <w:r w:rsidR="000F2913">
        <w:rPr>
          <w:color w:val="000000" w:themeColor="text1"/>
          <w:sz w:val="22"/>
          <w:szCs w:val="22"/>
        </w:rPr>
        <w:fldChar w:fldCharType="end"/>
      </w:r>
      <w:r w:rsidRPr="001C7194">
        <w:rPr>
          <w:color w:val="000000" w:themeColor="text1"/>
          <w:sz w:val="22"/>
          <w:szCs w:val="22"/>
        </w:rPr>
        <w:t>. Pandangan ini relevan dengan PRU karena sistem proteksi tekanan, kontrol proses, dan tindakan operator bekerja sebagai lapisan pengendalian yang saling terkait.</w:t>
      </w:r>
    </w:p>
    <w:p w14:paraId="1F38A24D" w14:textId="31531E76" w:rsidR="001C7194" w:rsidRPr="001C7194" w:rsidRDefault="001C7194" w:rsidP="001C7194">
      <w:pPr>
        <w:widowControl w:val="0"/>
        <w:ind w:firstLine="426"/>
        <w:jc w:val="both"/>
        <w:rPr>
          <w:color w:val="000000" w:themeColor="text1"/>
          <w:sz w:val="22"/>
          <w:szCs w:val="22"/>
        </w:rPr>
      </w:pPr>
      <w:r w:rsidRPr="001C7194">
        <w:rPr>
          <w:color w:val="000000" w:themeColor="text1"/>
          <w:sz w:val="22"/>
          <w:szCs w:val="22"/>
        </w:rPr>
        <w:t xml:space="preserve">Beberapa penelitian dalam sepuluh tahun terakhir telah memberikan dasar penting untuk membaca risiko </w:t>
      </w:r>
      <w:r w:rsidRPr="001C7194">
        <w:rPr>
          <w:i/>
          <w:iCs/>
          <w:color w:val="000000" w:themeColor="text1"/>
          <w:sz w:val="22"/>
          <w:szCs w:val="22"/>
        </w:rPr>
        <w:t>overpressure</w:t>
      </w:r>
      <w:r w:rsidRPr="001C7194">
        <w:rPr>
          <w:color w:val="000000" w:themeColor="text1"/>
          <w:sz w:val="22"/>
          <w:szCs w:val="22"/>
        </w:rPr>
        <w:t xml:space="preserve"> pada fasilitas proses. Kajian </w:t>
      </w:r>
      <w:r w:rsidRPr="001C7194">
        <w:rPr>
          <w:i/>
          <w:iCs/>
          <w:color w:val="000000" w:themeColor="text1"/>
          <w:sz w:val="22"/>
          <w:szCs w:val="22"/>
        </w:rPr>
        <w:t>risk assessment</w:t>
      </w:r>
      <w:r w:rsidRPr="001C7194">
        <w:rPr>
          <w:color w:val="000000" w:themeColor="text1"/>
          <w:sz w:val="22"/>
          <w:szCs w:val="22"/>
        </w:rPr>
        <w:t xml:space="preserve"> pada industri kimia menunjukkan bahwa metode penilaian risiko perlu menangkap keterkaitan antara keselamatan proses, keamanan operasi, dan ketahanan sistem terhadap gangguan </w:t>
      </w:r>
      <w:r w:rsidR="000F2913">
        <w:rPr>
          <w:color w:val="000000" w:themeColor="text1"/>
          <w:sz w:val="22"/>
          <w:szCs w:val="22"/>
        </w:rPr>
        <w:fldChar w:fldCharType="begin" w:fldLock="1"/>
      </w:r>
      <w:r w:rsidR="000F2913">
        <w:rPr>
          <w:color w:val="000000" w:themeColor="text1"/>
          <w:sz w:val="22"/>
          <w:szCs w:val="22"/>
        </w:rPr>
        <w:instrText>ADDIN CSL_CITATION {"citationItems":[{"id":"ITEM-1","itemData":{"DOI":"10.1016/j.jlp.2024.105274","author":[{"dropping-particle":"","family":"Ab Rahim","given":"M S","non-dropping-particle":"","parse-names":false,"suffix":""},{"dropping-particle":"","family":"Reniers","given":"G","non-dropping-particle":"","parse-names":false,"suffix":""},{"dropping-particle":"","family":"Yang","given":"M","non-dropping-particle":"","parse-names":false,"suffix":""},{"dropping-particle":"","family":"Bajpai","given":"S","non-dropping-particle":"","parse-names":false,"suffix":""}],"container-title":"Journal of Loss Prevention in the Process Industries","id":"ITEM-1","issued":{"date-parts":[["2024"]]},"page":"105274","title":"Risk Assessment Methods for Process Safety, Process Security and Resilience in the Chemical Process Industry: A Thorough Literature Review","type":"article-journal","volume":"88"},"uris":["http://www.mendeley.com/documents/?uuid=0f28d936-a1f4-4210-89ad-a841421c3ef1"]},{"id":"ITEM-2","itemData":{"abstract":"Negara Indonesia yang memiliki iklim tropis membuat Indonesia memiliki 2 musim yaitu musim kemarau dan musim hujan dan musim kemarau. Musim kemarau mengakibatkan suhu udara yang tinggi dan hawa disekitar menjadi hangat. Kebutuhan akan kenyamanan ini membuat betapa pentingnya AC (Air Conditioner).Perawatan yang dilakukan selain untuk menjaga fungsinya, umur serta kesehatan bagi penggunannya. Masalah umum yang mungkin sering dilupakan adalah masalah pemeliharaan komponen AC.. Perawatan komponen AC dapat membuat lebih awet dan dingin yang dihasilkan sesuai keinginan pengguna. Metode Reliability Centered Maintenance (RCM) adalah suatu pendekatan pemeliharaan yang mengkombinasikan praktek dan strategi dari preventive maintenance (pm) dan corective maintenance (cm) untuk memaksimalkan umur (life time) dan fungsi aset / sistem /equipment dengan biaya minimal (minimum cost). Metode RCM menggunakan data kualitatif seperti : (i) Fungsi komponen, (ii) Data kegagalan, (iii) Data penyebab kegagalan, (iv) Data efek kegagalan. Dan melakukan pengolahan data kuantitatif, antara lain : (i) Waktu antara kerusakan, (ii) Waktu perbaikan. Berdasarkan penelitian ini yang dilakukan metode Reliability Centered Maintenance (RCM) mendapatkan hasil Reliability = 0,6. Hasil ini menunjukkan data tersebut reliabel dan normal. Dalam proses penjadwalan maintenance AC dari yang dilakukan 3 bulan sekali dengan pengolahan data menghasilkan sebaiknya dilakukan 2 bulan sekali dalam sekali proses preventive maintenance.","author":[{"dropping-particle":"","family":"Ridho","given":"M Arif","non-dropping-particle":"","parse-names":false,"suffix":""},{"dropping-particle":"","family":"Jumali","given":"Muhamad Abdul","non-dropping-particle":"","parse-names":false,"suffix":""}],"container-title":"SEMNASTEK 2017","id":"ITEM-2","issue":"iii","issued":{"date-parts":[["2017"]]},"page":"198-204","publisher":"Unipress","publisher-place":"Surabaya","title":"ANALISIS PENJADWALAN PEMELIHARAAN AC DI FAKULTAS TEKNIK","type":"paper-conference"},"uris":["http://www.mendeley.com/documents/?uuid=14851cc5-c8fb-477d-9e4a-b38832173830"]},{"id":"ITEM-3","itemData":{"abstract":"&amp;lt;p&amp;gt;Saat ini, teknologi membawa banyak pengaruh pada industri pada tingkat yang tinggi persaingan,&amp;lt;br&amp;gt;maka perusahaan dituntut untuk lebih produktif. Perusahaan PT. Sol Sepatu Di Sidoarjo&amp;lt;br&amp;gt;mempunyai tingkat produktivitas yang baik dapat mempertahankan eksistensinya dan tumbuh&amp;lt;br&amp;gt;menjadi perusahaan yang lebih besar. Dalam prakteknya memerlukan bahan baku, komponen,&amp;lt;br&amp;gt;mesin, atau alat-alat produksi, energi serta melibatkan tenaga kerja pada tingkat yang lebih tinggi&amp;lt;br&amp;gt;kualitas dan kuantitas yang lebih besar. Di PT. Sol Sepatu di Sidoarjo seringkali menjadi masalah&amp;lt;br&amp;gt;pada bagian produksi adalah pembagian beban kerja dan kapasitas mesin atau operator pada&amp;lt;br&amp;gt;perakitan proses pada setiap stasiun kerja tidak seimbang dan menghambat proses produksi. Hal&amp;lt;br&amp;gt;ini tentu memerlukan pendekatan sistematis dalam penyelesaian masalah. Dengan penerapan&amp;lt;br&amp;gt;metode line balancing di PT Sol Sepatu Di Sidoarjo yang awalnya memiliki efesiensi 87% dan idle&amp;lt;br&amp;gt;time atau waktu tunggu 14% dapat dioptimalkan sehingga efisiensi lintasan produksi meningkat&amp;lt;br&amp;gt;93% dari waktu dan sumber daya yang tersedia digunakan secara produktif untuk kegiatan&amp;lt;br&amp;gt;produksi. Waktu idle time 7% dari total waktu produksi yang tidak digunakan untuk aktivitas&amp;lt;br&amp;gt;produktif &amp;lt;br&amp;gt;Kata Kunci : Line Balancing, Bottleneck, Work Produktivity&amp;lt;/p&amp;gt;","author":[{"dropping-particle":"","family":"Shilfira Nova Pratiwi","given":"","non-dropping-particle":"","parse-names":false,"suffix":""},{"dropping-particle":"","family":"Muhamad Abdul Jumali","given":"","non-dropping-particle":"","parse-names":false,"suffix":""}],"container-title":"Seminar Nasional Hasil Riset dan Pengabdian","id":"ITEM-3","issue":" SE  - Penelitian","issued":{"date-parts":[["2024","7","10"]]},"title":"Imlementasi Metode Line Balancing Guna Perbaikan Proses Produksi Di PT. Sol Sepatu Di Sidoarjo","type":"article-journal","volume":"6"},"uris":["http://www.mendeley.com/documents/?uuid=a73e8a65-4f81-44b8-a2ea-3df028dfb58c"]}],"mendeley":{"formattedCitation":"[6]–[8]","plainTextFormattedCitation":"[6]–[8]","previouslyFormattedCitation":"[6]–[8]"},"properties":{"noteIndex":0},"schema":"https://github.com/citation-style-language/schema/raw/master/csl-citation.json"}</w:instrText>
      </w:r>
      <w:r w:rsidR="000F2913">
        <w:rPr>
          <w:color w:val="000000" w:themeColor="text1"/>
          <w:sz w:val="22"/>
          <w:szCs w:val="22"/>
        </w:rPr>
        <w:fldChar w:fldCharType="separate"/>
      </w:r>
      <w:r w:rsidR="000F2913" w:rsidRPr="000F2913">
        <w:rPr>
          <w:noProof/>
          <w:color w:val="000000" w:themeColor="text1"/>
          <w:sz w:val="22"/>
          <w:szCs w:val="22"/>
        </w:rPr>
        <w:t>[6]–[8]</w:t>
      </w:r>
      <w:r w:rsidR="000F2913">
        <w:rPr>
          <w:color w:val="000000" w:themeColor="text1"/>
          <w:sz w:val="22"/>
          <w:szCs w:val="22"/>
        </w:rPr>
        <w:fldChar w:fldCharType="end"/>
      </w:r>
      <w:r w:rsidRPr="001C7194">
        <w:rPr>
          <w:color w:val="000000" w:themeColor="text1"/>
          <w:sz w:val="22"/>
          <w:szCs w:val="22"/>
        </w:rPr>
        <w:t xml:space="preserve">. Pada </w:t>
      </w:r>
      <w:r w:rsidRPr="001C7194">
        <w:rPr>
          <w:i/>
          <w:iCs/>
          <w:color w:val="000000" w:themeColor="text1"/>
          <w:sz w:val="22"/>
          <w:szCs w:val="22"/>
        </w:rPr>
        <w:t>pressure relief valve</w:t>
      </w:r>
      <w:r w:rsidRPr="001C7194">
        <w:rPr>
          <w:color w:val="000000" w:themeColor="text1"/>
          <w:sz w:val="22"/>
          <w:szCs w:val="22"/>
        </w:rPr>
        <w:t xml:space="preserve">, kegagalan fungsi dapat dipengaruhi oleh kondisi mekanis, deposit, korosi, pengaturan tekanan, kualitas inspeksi, dan efektivitas perawatan </w:t>
      </w:r>
      <w:r w:rsidR="000F2913">
        <w:rPr>
          <w:color w:val="000000" w:themeColor="text1"/>
          <w:sz w:val="22"/>
          <w:szCs w:val="22"/>
        </w:rPr>
        <w:fldChar w:fldCharType="begin" w:fldLock="1"/>
      </w:r>
      <w:r w:rsidR="000F2913">
        <w:rPr>
          <w:color w:val="000000" w:themeColor="text1"/>
          <w:sz w:val="22"/>
          <w:szCs w:val="22"/>
        </w:rPr>
        <w:instrText>ADDIN CSL_CITATION {"citationItems":[{"id":"ITEM-1","itemData":{"DOI":"10.3390/pr121100820","author":[{"dropping-particle":"","family":"Kuchekar","given":"P","non-dropping-particle":"","parse-names":false,"suffix":""},{"dropping-particle":"","family":"Sutar","given":"R","non-dropping-particle":"","parse-names":false,"suffix":""},{"dropping-particle":"","family":"Patil","given":"P","non-dropping-particle":"","parse-names":false,"suffix":""}],"container-title":"Processes","id":"ITEM-1","issue":"11","issued":{"date-parts":[["2024"]]},"page":"820","title":"Assessing the Critical Factors Leading to the Failure of Pressure Relief Valves: A Case Study","type":"article-journal","volume":"12"},"uris":["http://www.mendeley.com/documents/?uuid=6de7d046-c2cf-442b-a09b-0e4da7082d57"]},{"id":"ITEM-2","itemData":{"author":[{"dropping-particle":"","family":"Yuri","given":"T","non-dropping-particle":"","parse-names":false,"suffix":""},{"dropping-particle":"","family":"Nurcahyo","given":"Rahmat","non-dropping-particle":"","parse-names":false,"suffix":""}],"id":"ITEM-2","issued":{"date-parts":[["2013"]]},"publisher":"Indeks","publisher-place":"Jakarta","title":"TQM manajemen kualitas total dalam perspektif teknik industri","type":"book"},"uris":["http://www.mendeley.com/documents/?uuid=384d9757-8857-4c6f-8532-85747da5a6a2"]},{"id":"ITEM-3","itemData":{"ISSN":"2541-3090","author":[{"dropping-particle":"","family":"Cahyono","given":"Antonius","non-dropping-particle":"","parse-names":false,"suffix":""},{"dropping-particle":"","family":"Jumali","given":"Muhamad Abdul","non-dropping-particle":"","parse-names":false,"suffix":""}],"container-title":"Journal of Industrial Engineering Management","id":"ITEM-3","issue":"1","issued":{"date-parts":[["2023"]]},"page":"69-78","title":"INCREASING THE PRODUCTIVITY OF THE FURNITURE INDUSTRY WITH KAIZEN CASE STUDY IN SBRC FURNITURE JEPARA","type":"article-journal","volume":"8"},"uris":["http://www.mendeley.com/documents/?uuid=fac6e623-b542-4649-9d6b-e733dad82963"]}],"mendeley":{"formattedCitation":"[9]–[11]","plainTextFormattedCitation":"[9]–[11]","previouslyFormattedCitation":"[9]–[11]"},"properties":{"noteIndex":0},"schema":"https://github.com/citation-style-language/schema/raw/master/csl-citation.json"}</w:instrText>
      </w:r>
      <w:r w:rsidR="000F2913">
        <w:rPr>
          <w:color w:val="000000" w:themeColor="text1"/>
          <w:sz w:val="22"/>
          <w:szCs w:val="22"/>
        </w:rPr>
        <w:fldChar w:fldCharType="separate"/>
      </w:r>
      <w:r w:rsidR="000F2913" w:rsidRPr="000F2913">
        <w:rPr>
          <w:noProof/>
          <w:color w:val="000000" w:themeColor="text1"/>
          <w:sz w:val="22"/>
          <w:szCs w:val="22"/>
        </w:rPr>
        <w:t>[9]–[11]</w:t>
      </w:r>
      <w:r w:rsidR="000F2913">
        <w:rPr>
          <w:color w:val="000000" w:themeColor="text1"/>
          <w:sz w:val="22"/>
          <w:szCs w:val="22"/>
        </w:rPr>
        <w:fldChar w:fldCharType="end"/>
      </w:r>
      <w:r w:rsidRPr="001C7194">
        <w:rPr>
          <w:color w:val="000000" w:themeColor="text1"/>
          <w:sz w:val="22"/>
          <w:szCs w:val="22"/>
        </w:rPr>
        <w:t xml:space="preserve">. Studi lain tentang </w:t>
      </w:r>
      <w:r w:rsidRPr="006012A6">
        <w:rPr>
          <w:i/>
          <w:iCs/>
          <w:color w:val="000000" w:themeColor="text1"/>
          <w:sz w:val="22"/>
          <w:szCs w:val="22"/>
        </w:rPr>
        <w:t>valve</w:t>
      </w:r>
      <w:r w:rsidRPr="001C7194">
        <w:rPr>
          <w:color w:val="000000" w:themeColor="text1"/>
          <w:sz w:val="22"/>
          <w:szCs w:val="22"/>
        </w:rPr>
        <w:t xml:space="preserve"> dan </w:t>
      </w:r>
      <w:r w:rsidRPr="006012A6">
        <w:rPr>
          <w:i/>
          <w:iCs/>
          <w:color w:val="000000" w:themeColor="text1"/>
          <w:sz w:val="22"/>
          <w:szCs w:val="22"/>
        </w:rPr>
        <w:t>pipeline</w:t>
      </w:r>
      <w:r w:rsidRPr="001C7194">
        <w:rPr>
          <w:color w:val="000000" w:themeColor="text1"/>
          <w:sz w:val="22"/>
          <w:szCs w:val="22"/>
        </w:rPr>
        <w:t xml:space="preserve"> menunjukkan bahwa </w:t>
      </w:r>
      <w:r w:rsidRPr="006012A6">
        <w:rPr>
          <w:i/>
          <w:iCs/>
          <w:color w:val="000000" w:themeColor="text1"/>
          <w:sz w:val="22"/>
          <w:szCs w:val="22"/>
        </w:rPr>
        <w:t>seat leakage</w:t>
      </w:r>
      <w:r w:rsidRPr="001C7194">
        <w:rPr>
          <w:color w:val="000000" w:themeColor="text1"/>
          <w:sz w:val="22"/>
          <w:szCs w:val="22"/>
        </w:rPr>
        <w:t xml:space="preserve">, </w:t>
      </w:r>
      <w:r w:rsidRPr="006012A6">
        <w:rPr>
          <w:i/>
          <w:iCs/>
          <w:color w:val="000000" w:themeColor="text1"/>
          <w:sz w:val="22"/>
          <w:szCs w:val="22"/>
        </w:rPr>
        <w:t>internal leakage</w:t>
      </w:r>
      <w:r w:rsidRPr="001C7194">
        <w:rPr>
          <w:color w:val="000000" w:themeColor="text1"/>
          <w:sz w:val="22"/>
          <w:szCs w:val="22"/>
        </w:rPr>
        <w:t>, degradasi</w:t>
      </w:r>
      <w:r w:rsidRPr="006012A6">
        <w:rPr>
          <w:i/>
          <w:iCs/>
          <w:color w:val="000000" w:themeColor="text1"/>
          <w:sz w:val="22"/>
          <w:szCs w:val="22"/>
        </w:rPr>
        <w:t xml:space="preserve"> seal</w:t>
      </w:r>
      <w:r w:rsidRPr="001C7194">
        <w:rPr>
          <w:color w:val="000000" w:themeColor="text1"/>
          <w:sz w:val="22"/>
          <w:szCs w:val="22"/>
        </w:rPr>
        <w:t xml:space="preserve">, erosi, korosi, partikel pada </w:t>
      </w:r>
      <w:r w:rsidRPr="006012A6">
        <w:rPr>
          <w:i/>
          <w:iCs/>
          <w:color w:val="000000" w:themeColor="text1"/>
          <w:sz w:val="22"/>
          <w:szCs w:val="22"/>
        </w:rPr>
        <w:t>seat</w:t>
      </w:r>
      <w:r w:rsidRPr="001C7194">
        <w:rPr>
          <w:color w:val="000000" w:themeColor="text1"/>
          <w:sz w:val="22"/>
          <w:szCs w:val="22"/>
        </w:rPr>
        <w:t xml:space="preserve">, dan gangguan sinyal dapat melemahkan fungsi isolasi serta mengubah respon tekanan sistem </w:t>
      </w:r>
      <w:r w:rsidR="000F2913">
        <w:rPr>
          <w:color w:val="000000" w:themeColor="text1"/>
          <w:sz w:val="22"/>
          <w:szCs w:val="22"/>
        </w:rPr>
        <w:fldChar w:fldCharType="begin" w:fldLock="1"/>
      </w:r>
      <w:r w:rsidR="00F558A9">
        <w:rPr>
          <w:color w:val="000000" w:themeColor="text1"/>
          <w:sz w:val="22"/>
          <w:szCs w:val="22"/>
        </w:rPr>
        <w:instrText>ADDIN CSL_CITATION {"citationItems":[{"id":"ITEM-1","itemData":{"author":[{"dropping-particle":"Bin","family":"Yusof","given":"M A","non-dropping-particle":"","parse-names":false,"suffix":""},{"dropping-particle":"","family":"Abdullah","given":"N H B","non-dropping-particle":"","parse-names":false,"suffix":""}],"container-title":"Journal of Engineering Science and Technology","id":"ITEM-1","issue":"9","issued":{"date-parts":[["2016"]]},"page":"9-19","title":"Failure Mode and Effect Analysis (FMEA) of Butterfly Valve in Oil and Gas Industry","type":"article-journal","volume":"11"},"uris":["http://www.mendeley.com/documents/?uuid=8bb1a13e-95eb-478a-aafd-1d516253a2dc"]},{"id":"ITEM-2","itemData":{"DOI":"10.1016/j.flowmeasinst.2022.102303","author":[{"dropping-particle":"","family":"Shi","given":"M","non-dropping-particle":"","parse-names":false,"suffix":""},{"dropping-particle":"","family":"Cao","given":"Z","non-dropping-particle":"","parse-names":false,"suffix":""},{"dropping-particle":"","family":"Ye","given":"T","non-dropping-particle":"","parse-names":false,"suffix":""}],"container-title":"Flow Measurement and Instrumentation","id":"ITEM-2","issued":{"date-parts":[["2023"]]},"page":"102303","title":"Internal Leakage Rate Prediction and Failure Diagnosis of Buried Pipeline Ball Valve Based on Valve Cavity Pressure Detection","type":"article-journal","volume":"89"},"uris":["http://www.mendeley.com/documents/?uuid=d7324254-d601-4382-869f-ef31005455d8"]},{"id":"ITEM-3","itemData":{"author":[{"dropping-particle":"","family":"Mustapha","given":"I","non-dropping-particle":"","parse-names":false,"suffix":""},{"dropping-particle":"","family":"Md Saad","given":"M H","non-dropping-particle":"","parse-names":false,"suffix":""},{"dropping-particle":"","family":"Nuawi","given":"M Z","non-dropping-particle":"","parse-names":false,"suffix":""},{"dropping-particle":"","family":"Sani","given":"S","non-dropping-particle":"","parse-names":false,"suffix":""},{"dropping-particle":"","family":"Mohd","given":"S","non-dropping-particle":"","parse-names":false,"suffix":""},{"dropping-particle":"","family":"Mohamad","given":"S F","non-dropping-particle":"","parse-names":false,"suffix":""},{"dropping-particle":"","family":"Omar","given":"R S","non-dropping-particle":"","parse-names":false,"suffix":""}],"container-title":"International Journal of Integrated Engineering","id":"ITEM-3","issue":"1","issued":{"date-parts":[["2022"]]},"page":"57-65","title":"Investigation of Internal Gas Leakage on the Gate Valve Using Acoustic Signal","type":"article-journal","volume":"14"},"uris":["http://www.mendeley.com/documents/?uuid=157505ab-1dfa-4dad-965b-18567b98cefc"]}],"mendeley":{"formattedCitation":"[12]–[14]","plainTextFormattedCitation":"[12]–[14]","previouslyFormattedCitation":"[12]–[14]"},"properties":{"noteIndex":0},"schema":"https://github.com/citation-style-language/schema/raw/master/csl-citation.json"}</w:instrText>
      </w:r>
      <w:r w:rsidR="000F2913">
        <w:rPr>
          <w:color w:val="000000" w:themeColor="text1"/>
          <w:sz w:val="22"/>
          <w:szCs w:val="22"/>
        </w:rPr>
        <w:fldChar w:fldCharType="separate"/>
      </w:r>
      <w:r w:rsidR="000F2913" w:rsidRPr="000F2913">
        <w:rPr>
          <w:noProof/>
          <w:color w:val="000000" w:themeColor="text1"/>
          <w:sz w:val="22"/>
          <w:szCs w:val="22"/>
        </w:rPr>
        <w:t>[12]–[14]</w:t>
      </w:r>
      <w:r w:rsidR="000F2913">
        <w:rPr>
          <w:color w:val="000000" w:themeColor="text1"/>
          <w:sz w:val="22"/>
          <w:szCs w:val="22"/>
        </w:rPr>
        <w:fldChar w:fldCharType="end"/>
      </w:r>
      <w:r w:rsidRPr="001C7194">
        <w:rPr>
          <w:color w:val="000000" w:themeColor="text1"/>
          <w:sz w:val="22"/>
          <w:szCs w:val="22"/>
        </w:rPr>
        <w:t xml:space="preserve">. Temuan-temuan tersebut menunjukkan bahwa analisis risiko pada sistem bertekanan perlu diturunkan sampai ke </w:t>
      </w:r>
      <w:r w:rsidRPr="006012A6">
        <w:rPr>
          <w:i/>
          <w:iCs/>
          <w:color w:val="000000" w:themeColor="text1"/>
          <w:sz w:val="22"/>
          <w:szCs w:val="22"/>
        </w:rPr>
        <w:t>level failure mode</w:t>
      </w:r>
      <w:r w:rsidRPr="001C7194">
        <w:rPr>
          <w:color w:val="000000" w:themeColor="text1"/>
          <w:sz w:val="22"/>
          <w:szCs w:val="22"/>
        </w:rPr>
        <w:t xml:space="preserve"> agar hubungan antara penyebab, dampak, kemampuan deteksi, dan prioritas tindakan dapat terlihat secara terukur.</w:t>
      </w:r>
    </w:p>
    <w:p w14:paraId="403BC3B9" w14:textId="074D5D83" w:rsidR="001C7194" w:rsidRPr="001C7194" w:rsidRDefault="001C7194" w:rsidP="006012A6">
      <w:pPr>
        <w:widowControl w:val="0"/>
        <w:ind w:firstLine="426"/>
        <w:jc w:val="both"/>
        <w:rPr>
          <w:color w:val="000000" w:themeColor="text1"/>
          <w:sz w:val="22"/>
          <w:szCs w:val="22"/>
        </w:rPr>
      </w:pPr>
      <w:r w:rsidRPr="001C7194">
        <w:rPr>
          <w:color w:val="000000" w:themeColor="text1"/>
          <w:sz w:val="22"/>
          <w:szCs w:val="22"/>
        </w:rPr>
        <w:t xml:space="preserve">Pendekatan tersebut menjadi lebih penting karena sumber risiko tersebar pada subsistem yang berbeda. Kolom distilasi berhubungan dengan kestabilan tekanan dan temperatur. PRV/PSV berfungsi sebagai proteksi terhadap akumulasi tekanan. </w:t>
      </w:r>
      <w:r w:rsidRPr="006012A6">
        <w:rPr>
          <w:i/>
          <w:iCs/>
          <w:color w:val="000000" w:themeColor="text1"/>
          <w:sz w:val="22"/>
          <w:szCs w:val="22"/>
        </w:rPr>
        <w:t>Pressure</w:t>
      </w:r>
      <w:r w:rsidRPr="001C7194">
        <w:rPr>
          <w:color w:val="000000" w:themeColor="text1"/>
          <w:sz w:val="22"/>
          <w:szCs w:val="22"/>
        </w:rPr>
        <w:t xml:space="preserve"> transmitter menentukan ketepatan sinyal untuk sistem kontrol. Control </w:t>
      </w:r>
      <w:r w:rsidRPr="006012A6">
        <w:rPr>
          <w:i/>
          <w:iCs/>
          <w:color w:val="000000" w:themeColor="text1"/>
          <w:sz w:val="22"/>
          <w:szCs w:val="22"/>
        </w:rPr>
        <w:t>valve</w:t>
      </w:r>
      <w:r w:rsidRPr="001C7194">
        <w:rPr>
          <w:color w:val="000000" w:themeColor="text1"/>
          <w:sz w:val="22"/>
          <w:szCs w:val="22"/>
        </w:rPr>
        <w:t xml:space="preserve"> mengatur aliran </w:t>
      </w:r>
      <w:r w:rsidRPr="006012A6">
        <w:rPr>
          <w:i/>
          <w:iCs/>
          <w:color w:val="000000" w:themeColor="text1"/>
          <w:sz w:val="22"/>
          <w:szCs w:val="22"/>
        </w:rPr>
        <w:t>propylene</w:t>
      </w:r>
      <w:r w:rsidRPr="001C7194">
        <w:rPr>
          <w:color w:val="000000" w:themeColor="text1"/>
          <w:sz w:val="22"/>
          <w:szCs w:val="22"/>
        </w:rPr>
        <w:t xml:space="preserve"> agar tidak terjadi penumpukan tekanan. </w:t>
      </w:r>
      <w:r w:rsidRPr="006012A6">
        <w:rPr>
          <w:i/>
          <w:iCs/>
          <w:color w:val="000000" w:themeColor="text1"/>
          <w:sz w:val="22"/>
          <w:szCs w:val="22"/>
        </w:rPr>
        <w:t>Heat exchanger</w:t>
      </w:r>
      <w:r w:rsidRPr="001C7194">
        <w:rPr>
          <w:color w:val="000000" w:themeColor="text1"/>
          <w:sz w:val="22"/>
          <w:szCs w:val="22"/>
        </w:rPr>
        <w:t xml:space="preserve"> mempengaruhi pelepasan panas dan potensi kenaikan tekanan. HIPPS menjadi barrier akhir ketika proteksi lain tidak cukup. Operator berperan membaca alarm, menjalankan prosedur, dan mengambil respon korektif pada kondisi abnormal. </w:t>
      </w:r>
      <w:r w:rsidR="006012A6">
        <w:rPr>
          <w:color w:val="000000" w:themeColor="text1"/>
          <w:sz w:val="22"/>
          <w:szCs w:val="22"/>
        </w:rPr>
        <w:t>P</w:t>
      </w:r>
      <w:r w:rsidRPr="001C7194">
        <w:rPr>
          <w:color w:val="000000" w:themeColor="text1"/>
          <w:sz w:val="22"/>
          <w:szCs w:val="22"/>
        </w:rPr>
        <w:t xml:space="preserve">enelitian ini juga mengarahkan analisis pada komponen utama penyebab </w:t>
      </w:r>
      <w:r w:rsidRPr="004D5811">
        <w:rPr>
          <w:i/>
          <w:iCs/>
          <w:color w:val="000000" w:themeColor="text1"/>
          <w:sz w:val="22"/>
          <w:szCs w:val="22"/>
        </w:rPr>
        <w:t>high pressure failure</w:t>
      </w:r>
      <w:r w:rsidRPr="001C7194">
        <w:rPr>
          <w:color w:val="000000" w:themeColor="text1"/>
          <w:sz w:val="22"/>
          <w:szCs w:val="22"/>
        </w:rPr>
        <w:t xml:space="preserve">, terutama instrumentasi dan sistem operasi, dengan risiko kegagalan diukur melalui </w:t>
      </w:r>
      <w:r w:rsidRPr="004D5811">
        <w:rPr>
          <w:i/>
          <w:iCs/>
          <w:color w:val="000000" w:themeColor="text1"/>
          <w:sz w:val="22"/>
          <w:szCs w:val="22"/>
        </w:rPr>
        <w:t>Risk Priority Number</w:t>
      </w:r>
      <w:r w:rsidRPr="001C7194">
        <w:rPr>
          <w:color w:val="000000" w:themeColor="text1"/>
          <w:sz w:val="22"/>
          <w:szCs w:val="22"/>
        </w:rPr>
        <w:t xml:space="preserve"> hasil FMEA</w:t>
      </w:r>
      <w:r w:rsidR="00F558A9">
        <w:rPr>
          <w:color w:val="000000" w:themeColor="text1"/>
          <w:sz w:val="22"/>
          <w:szCs w:val="22"/>
        </w:rPr>
        <w:fldChar w:fldCharType="begin" w:fldLock="1"/>
      </w:r>
      <w:r w:rsidR="00F558A9">
        <w:rPr>
          <w:color w:val="000000" w:themeColor="text1"/>
          <w:sz w:val="22"/>
          <w:szCs w:val="22"/>
        </w:rPr>
        <w:instrText>ADDIN CSL_CITATION {"citationItems":[{"id":"ITEM-1","itemData":{"DOI":"10.1016/j.jlp.2021.104616","author":[{"dropping-particle":"","family":"Hassan","given":"S","non-dropping-particle":"","parse-names":false,"suffix":""},{"dropping-particle":"","family":"Wang","given":"J","non-dropping-particle":"","parse-names":false,"suffix":""},{"dropping-particle":"","family":"Kontovas","given":"C","non-dropping-particle":"","parse-names":false,"suffix":""},{"dropping-particle":"","family":"Bashir","given":"M","non-dropping-particle":"","parse-names":false,"suffix":""}],"container-title":"Journal of Loss Prevention in the Process Industries","id":"ITEM-1","issued":{"date-parts":[["2022"]]},"page":"104616","title":"Modified FMEA Hazard Identification for Cross-Country Petroleum Pipeline Using Fuzzy Rule Base and Approximate Reasoning","type":"article-journal","volume":"74"},"uris":["http://www.mendeley.com/documents/?uuid=dffcc72e-2efe-44e1-8b3d-bfc7eec60819"]},{"id":"ITEM-2","itemData":{"DOI":"10.3390/en14196013","author":[{"dropping-particle":"","family":"Carro","given":"A","non-dropping-particle":"","parse-names":false,"suffix":""},{"dropping-particle":"","family":"Gonzalez","given":"A","non-dropping-particle":"","parse-names":false,"suffix":""},{"dropping-particle":"","family":"Caceres","given":"G","non-dropping-particle":"","parse-names":false,"suffix":""}],"container-title":"Energies","id":"ITEM-2","issue":"19","issued":{"date-parts":[["2021"]]},"page":"6013","title":"FMEA and Risk Assessment for Thermochemical Energy Storage Systems","type":"article-journal","volume":"14"},"uris":["http://www.mendeley.com/documents/?uuid=5150f33d-f963-41d8-b1b3-bf72ac1165ef"]}],"mendeley":{"formattedCitation":"[15], [16]","plainTextFormattedCitation":"[15], [16]","previouslyFormattedCitation":"[15], [16]"},"properties":{"noteIndex":0},"schema":"https://github.com/citation-style-language/schema/raw/master/csl-citation.json"}</w:instrText>
      </w:r>
      <w:r w:rsidR="00F558A9">
        <w:rPr>
          <w:color w:val="000000" w:themeColor="text1"/>
          <w:sz w:val="22"/>
          <w:szCs w:val="22"/>
        </w:rPr>
        <w:fldChar w:fldCharType="separate"/>
      </w:r>
      <w:r w:rsidR="00F558A9" w:rsidRPr="00F558A9">
        <w:rPr>
          <w:noProof/>
          <w:color w:val="000000" w:themeColor="text1"/>
          <w:sz w:val="22"/>
          <w:szCs w:val="22"/>
        </w:rPr>
        <w:t>[15], [16]</w:t>
      </w:r>
      <w:r w:rsidR="00F558A9">
        <w:rPr>
          <w:color w:val="000000" w:themeColor="text1"/>
          <w:sz w:val="22"/>
          <w:szCs w:val="22"/>
        </w:rPr>
        <w:fldChar w:fldCharType="end"/>
      </w:r>
      <w:r w:rsidRPr="001C7194">
        <w:rPr>
          <w:color w:val="000000" w:themeColor="text1"/>
          <w:sz w:val="22"/>
          <w:szCs w:val="22"/>
        </w:rPr>
        <w:t>.</w:t>
      </w:r>
    </w:p>
    <w:p w14:paraId="06848270" w14:textId="333028D6" w:rsidR="001C7194" w:rsidRPr="001C7194" w:rsidRDefault="001C7194" w:rsidP="004D5811">
      <w:pPr>
        <w:widowControl w:val="0"/>
        <w:ind w:firstLine="426"/>
        <w:jc w:val="both"/>
        <w:rPr>
          <w:color w:val="000000" w:themeColor="text1"/>
          <w:sz w:val="22"/>
          <w:szCs w:val="22"/>
        </w:rPr>
      </w:pPr>
      <w:r w:rsidRPr="001C7194">
        <w:rPr>
          <w:color w:val="000000" w:themeColor="text1"/>
          <w:sz w:val="22"/>
          <w:szCs w:val="22"/>
        </w:rPr>
        <w:t xml:space="preserve">Kajian terdahulu mengenai </w:t>
      </w:r>
      <w:r w:rsidRPr="004D5811">
        <w:rPr>
          <w:i/>
          <w:iCs/>
          <w:color w:val="000000" w:themeColor="text1"/>
          <w:sz w:val="22"/>
          <w:szCs w:val="22"/>
        </w:rPr>
        <w:t>pressure relief device</w:t>
      </w:r>
      <w:r w:rsidRPr="001C7194">
        <w:rPr>
          <w:color w:val="000000" w:themeColor="text1"/>
          <w:sz w:val="22"/>
          <w:szCs w:val="22"/>
        </w:rPr>
        <w:t xml:space="preserve">, </w:t>
      </w:r>
      <w:r w:rsidRPr="004D5811">
        <w:rPr>
          <w:i/>
          <w:iCs/>
          <w:color w:val="000000" w:themeColor="text1"/>
          <w:sz w:val="22"/>
          <w:szCs w:val="22"/>
        </w:rPr>
        <w:t>valve leakage</w:t>
      </w:r>
      <w:r w:rsidRPr="001C7194">
        <w:rPr>
          <w:color w:val="000000" w:themeColor="text1"/>
          <w:sz w:val="22"/>
          <w:szCs w:val="22"/>
        </w:rPr>
        <w:t xml:space="preserve">, </w:t>
      </w:r>
      <w:r w:rsidRPr="004D5811">
        <w:rPr>
          <w:i/>
          <w:iCs/>
          <w:color w:val="000000" w:themeColor="text1"/>
          <w:sz w:val="22"/>
          <w:szCs w:val="22"/>
        </w:rPr>
        <w:t>pipeline risk</w:t>
      </w:r>
      <w:r w:rsidRPr="001C7194">
        <w:rPr>
          <w:color w:val="000000" w:themeColor="text1"/>
          <w:sz w:val="22"/>
          <w:szCs w:val="22"/>
        </w:rPr>
        <w:t xml:space="preserve">, LPG </w:t>
      </w:r>
      <w:r w:rsidRPr="004D5811">
        <w:rPr>
          <w:i/>
          <w:iCs/>
          <w:color w:val="000000" w:themeColor="text1"/>
          <w:sz w:val="22"/>
          <w:szCs w:val="22"/>
        </w:rPr>
        <w:t>facility</w:t>
      </w:r>
      <w:r w:rsidRPr="001C7194">
        <w:rPr>
          <w:color w:val="000000" w:themeColor="text1"/>
          <w:sz w:val="22"/>
          <w:szCs w:val="22"/>
        </w:rPr>
        <w:t xml:space="preserve">, dan </w:t>
      </w:r>
      <w:r w:rsidRPr="004D5811">
        <w:rPr>
          <w:i/>
          <w:iCs/>
          <w:color w:val="000000" w:themeColor="text1"/>
          <w:sz w:val="22"/>
          <w:szCs w:val="22"/>
        </w:rPr>
        <w:t>risk-based inspection</w:t>
      </w:r>
      <w:r w:rsidRPr="001C7194">
        <w:rPr>
          <w:color w:val="000000" w:themeColor="text1"/>
          <w:sz w:val="22"/>
          <w:szCs w:val="22"/>
        </w:rPr>
        <w:t xml:space="preserve"> telah menjelaskan kegagalan komponen pada fasilitas proses secara cukup luas. Akan tetapi, pembahasan yang menempatkan PRU sebagai sistem operasi terintegrasi masih terbatas, terutama ketika mode kegagalan instrumentasi, kontrol tekanan, proteksi tekanan, </w:t>
      </w:r>
      <w:r w:rsidRPr="004D5811">
        <w:rPr>
          <w:i/>
          <w:iCs/>
          <w:color w:val="000000" w:themeColor="text1"/>
          <w:sz w:val="22"/>
          <w:szCs w:val="22"/>
        </w:rPr>
        <w:t>heat transfer</w:t>
      </w:r>
      <w:r w:rsidRPr="001C7194">
        <w:rPr>
          <w:color w:val="000000" w:themeColor="text1"/>
          <w:sz w:val="22"/>
          <w:szCs w:val="22"/>
        </w:rPr>
        <w:t xml:space="preserve">, perpipaan, HIPPS, dan </w:t>
      </w:r>
      <w:r w:rsidRPr="004D5811">
        <w:rPr>
          <w:i/>
          <w:iCs/>
          <w:color w:val="000000" w:themeColor="text1"/>
          <w:sz w:val="22"/>
          <w:szCs w:val="22"/>
        </w:rPr>
        <w:t>human factor</w:t>
      </w:r>
      <w:r w:rsidRPr="001C7194">
        <w:rPr>
          <w:color w:val="000000" w:themeColor="text1"/>
          <w:sz w:val="22"/>
          <w:szCs w:val="22"/>
        </w:rPr>
        <w:t xml:space="preserve"> harus dibandingkan dalam satu ukuran prioritas risiko. Pendekatan </w:t>
      </w:r>
      <w:r w:rsidRPr="004D5811">
        <w:rPr>
          <w:i/>
          <w:iCs/>
          <w:color w:val="000000" w:themeColor="text1"/>
          <w:sz w:val="22"/>
          <w:szCs w:val="22"/>
        </w:rPr>
        <w:t>Bow-Tie</w:t>
      </w:r>
      <w:r w:rsidRPr="001C7194">
        <w:rPr>
          <w:color w:val="000000" w:themeColor="text1"/>
          <w:sz w:val="22"/>
          <w:szCs w:val="22"/>
        </w:rPr>
        <w:t xml:space="preserve"> mampu menggambarkan hubungan ancaman, </w:t>
      </w:r>
      <w:r w:rsidRPr="004D5811">
        <w:rPr>
          <w:i/>
          <w:iCs/>
          <w:color w:val="000000" w:themeColor="text1"/>
          <w:sz w:val="22"/>
          <w:szCs w:val="22"/>
        </w:rPr>
        <w:t>barrier</w:t>
      </w:r>
      <w:r w:rsidRPr="001C7194">
        <w:rPr>
          <w:color w:val="000000" w:themeColor="text1"/>
          <w:sz w:val="22"/>
          <w:szCs w:val="22"/>
        </w:rPr>
        <w:t xml:space="preserve">, dan konsekuensi, sedangkan RBI/API 581 kuat untuk menentukan risiko dan interval inspeksi peralatan. Keduanya belum secara langsung menunjukkan urutan mode kegagalan PRU berdasarkan </w:t>
      </w:r>
      <w:r w:rsidRPr="004D5811">
        <w:rPr>
          <w:i/>
          <w:iCs/>
          <w:color w:val="000000" w:themeColor="text1"/>
          <w:sz w:val="22"/>
          <w:szCs w:val="22"/>
        </w:rPr>
        <w:t>severity</w:t>
      </w:r>
      <w:r w:rsidRPr="001C7194">
        <w:rPr>
          <w:color w:val="000000" w:themeColor="text1"/>
          <w:sz w:val="22"/>
          <w:szCs w:val="22"/>
        </w:rPr>
        <w:t xml:space="preserve">, </w:t>
      </w:r>
      <w:r w:rsidRPr="004D5811">
        <w:rPr>
          <w:i/>
          <w:iCs/>
          <w:color w:val="000000" w:themeColor="text1"/>
          <w:sz w:val="22"/>
          <w:szCs w:val="22"/>
        </w:rPr>
        <w:t>occurrence</w:t>
      </w:r>
      <w:r w:rsidRPr="001C7194">
        <w:rPr>
          <w:color w:val="000000" w:themeColor="text1"/>
          <w:sz w:val="22"/>
          <w:szCs w:val="22"/>
        </w:rPr>
        <w:t xml:space="preserve">, </w:t>
      </w:r>
      <w:r w:rsidRPr="004D5811">
        <w:rPr>
          <w:i/>
          <w:iCs/>
          <w:color w:val="000000" w:themeColor="text1"/>
          <w:sz w:val="22"/>
          <w:szCs w:val="22"/>
        </w:rPr>
        <w:t>detection</w:t>
      </w:r>
      <w:r w:rsidRPr="001C7194">
        <w:rPr>
          <w:color w:val="000000" w:themeColor="text1"/>
          <w:sz w:val="22"/>
          <w:szCs w:val="22"/>
        </w:rPr>
        <w:t xml:space="preserve">, dan RPN. </w:t>
      </w:r>
      <w:r w:rsidR="004D5811">
        <w:rPr>
          <w:color w:val="000000" w:themeColor="text1"/>
          <w:sz w:val="22"/>
          <w:szCs w:val="22"/>
        </w:rPr>
        <w:t>R</w:t>
      </w:r>
      <w:r w:rsidRPr="001C7194">
        <w:rPr>
          <w:color w:val="000000" w:themeColor="text1"/>
          <w:sz w:val="22"/>
          <w:szCs w:val="22"/>
        </w:rPr>
        <w:t xml:space="preserve">isiko </w:t>
      </w:r>
      <w:r w:rsidRPr="004D5811">
        <w:rPr>
          <w:i/>
          <w:iCs/>
          <w:color w:val="000000" w:themeColor="text1"/>
          <w:sz w:val="22"/>
          <w:szCs w:val="22"/>
        </w:rPr>
        <w:t>overpressure</w:t>
      </w:r>
      <w:r w:rsidRPr="001C7194">
        <w:rPr>
          <w:color w:val="000000" w:themeColor="text1"/>
          <w:sz w:val="22"/>
          <w:szCs w:val="22"/>
        </w:rPr>
        <w:t xml:space="preserve"> dibaca melalui struktur FMEA agar setiap </w:t>
      </w:r>
      <w:r w:rsidRPr="004D5811">
        <w:rPr>
          <w:i/>
          <w:iCs/>
          <w:color w:val="000000" w:themeColor="text1"/>
          <w:sz w:val="22"/>
          <w:szCs w:val="22"/>
        </w:rPr>
        <w:t>failure mode</w:t>
      </w:r>
      <w:r w:rsidRPr="001C7194">
        <w:rPr>
          <w:color w:val="000000" w:themeColor="text1"/>
          <w:sz w:val="22"/>
          <w:szCs w:val="22"/>
        </w:rPr>
        <w:t xml:space="preserve"> dapat dibandingkan secara kuantitatif menurut dampak, peluang kejadian, dan kemampuan deteksinya</w:t>
      </w:r>
      <w:r w:rsidR="00F558A9">
        <w:rPr>
          <w:color w:val="000000" w:themeColor="text1"/>
          <w:sz w:val="22"/>
          <w:szCs w:val="22"/>
        </w:rPr>
        <w:fldChar w:fldCharType="begin" w:fldLock="1"/>
      </w:r>
      <w:r w:rsidR="00F558A9">
        <w:rPr>
          <w:color w:val="000000" w:themeColor="text1"/>
          <w:sz w:val="22"/>
          <w:szCs w:val="22"/>
        </w:rPr>
        <w:instrText>ADDIN CSL_CITATION {"citationItems":[{"id":"ITEM-1","itemData":{"ISBN":"9786027367210","abstract":"Perusahaan yang beroperasi 24 jam memerlukan kehandalan mesin mendukung dalam menunjang proses produksi. Namun seringkali proses produksi terhambat akibat terjadinya kerusakan komponen mesin. Mesin Centrifugal mempunyai peranan yang penting dalam proses produksi gula, sehingga memerlukan perawatan agar terjaga kondisi dalam proses menunjang produksi. Penelitian ini bertujuan untuk mengetahui nilai efektivitas mesin, mengetahui penyebab kegagalan mesin dan mencari solusi dari kegagalan tersebut. Penelitian ini menggunakan Overall Equipment Effectiveness (OEE) dan Failure Mode and Effects Analysis (FMEA) sebagai langkah memperbaiki permasalahan yang ada. OEE digunakan untuk mengetahui nilai efektivitas mesin dan penyebab masalah dapat diselesaikan dengan menggunakan FMEA. Hasil penelian ini di dapat besaran nilai dari Availability adalah 99,03%, performance sebesar 84,24%, quality sebesar 100%, dengan nilai OEE sebesar 83,37%. Komponen yang kritis pada mesin centrifugal adalah komponen Charge Valve no 2 yang terdiri dari Shaft, Blide, EPDM dan Akuator, dengan nilai Task Selection dalam Risk Priority Number nilai tertinggi yaitu 336 pada komponan EPDM dan Seal Kit masuk dalam tingkat Adequate maintenance (tindakan yang memadai).","author":[{"dropping-particle":"","family":"Jannah","given":"Resa Miftahul","non-dropping-particle":"","parse-names":false,"suffix":""},{"dropping-particle":"","family":"Supriyadi","given":"Supriyadi","non-dropping-particle":"","parse-names":false,"suffix":""},{"dropping-particle":"","family":"Nalhadi","given":"Ahmad","non-dropping-particle":"","parse-names":false,"suffix":""}],"container-title":"Prosiding Seminar Nasional Riset Terapan| SENASSET","id":"ITEM-1","issue":"2013","issued":{"date-parts":[["2017"]]},"page":"170-175","title":"Analisis Efektivitas pada Mesin Centrifugal dengan Menggunakan Metode Overall Equipment Effectiveness (OEE)","type":"article-journal"},"uris":["http://www.mendeley.com/documents/?uuid=17a5a8e6-29fc-4fc0-9d1d-52b61db51d1d"]},{"id":"ITEM-2","itemData":{"author":[{"dropping-particle":"","family":"Sotoodeh","given":"K","non-dropping-particle":"","parse-names":false,"suffix":""}],"container-title":"Journal of Failure Analysis and Prevention","id":"ITEM-2","issue":"4","issued":{"date-parts":[["2020"]]},"page":"1175-1183","title":"Failure Mode and Effect Analysis (FMEA) of Pipeline Ball Valves in the Offshore Industry","type":"article-journal","volume":"20"},"uris":["http://www.mendeley.com/documents/?uuid=2c70c33d-5884-4b54-ae07-bca619315c0b"]}],"mendeley":{"formattedCitation":"[17], [18]","plainTextFormattedCitation":"[17], [18]","previouslyFormattedCitation":"[17], [18]"},"properties":{"noteIndex":0},"schema":"https://github.com/citation-style-language/schema/raw/master/csl-citation.json"}</w:instrText>
      </w:r>
      <w:r w:rsidR="00F558A9">
        <w:rPr>
          <w:color w:val="000000" w:themeColor="text1"/>
          <w:sz w:val="22"/>
          <w:szCs w:val="22"/>
        </w:rPr>
        <w:fldChar w:fldCharType="separate"/>
      </w:r>
      <w:r w:rsidR="00F558A9" w:rsidRPr="00F558A9">
        <w:rPr>
          <w:noProof/>
          <w:color w:val="000000" w:themeColor="text1"/>
          <w:sz w:val="22"/>
          <w:szCs w:val="22"/>
        </w:rPr>
        <w:t>[17], [18]</w:t>
      </w:r>
      <w:r w:rsidR="00F558A9">
        <w:rPr>
          <w:color w:val="000000" w:themeColor="text1"/>
          <w:sz w:val="22"/>
          <w:szCs w:val="22"/>
        </w:rPr>
        <w:fldChar w:fldCharType="end"/>
      </w:r>
      <w:r w:rsidRPr="001C7194">
        <w:rPr>
          <w:color w:val="000000" w:themeColor="text1"/>
          <w:sz w:val="22"/>
          <w:szCs w:val="22"/>
        </w:rPr>
        <w:t>.</w:t>
      </w:r>
    </w:p>
    <w:p w14:paraId="42B157E6" w14:textId="413A9012" w:rsidR="001C7194" w:rsidRPr="001C7194" w:rsidRDefault="001C7194" w:rsidP="00872B6C">
      <w:pPr>
        <w:widowControl w:val="0"/>
        <w:ind w:firstLine="426"/>
        <w:jc w:val="both"/>
        <w:rPr>
          <w:color w:val="000000" w:themeColor="text1"/>
          <w:sz w:val="22"/>
          <w:szCs w:val="22"/>
        </w:rPr>
      </w:pPr>
      <w:r w:rsidRPr="00872B6C">
        <w:rPr>
          <w:i/>
          <w:iCs/>
          <w:color w:val="000000" w:themeColor="text1"/>
          <w:sz w:val="22"/>
          <w:szCs w:val="22"/>
        </w:rPr>
        <w:t>Failure Mode and Effects Analysis</w:t>
      </w:r>
      <w:r w:rsidRPr="001C7194">
        <w:rPr>
          <w:color w:val="000000" w:themeColor="text1"/>
          <w:sz w:val="22"/>
          <w:szCs w:val="22"/>
        </w:rPr>
        <w:t xml:space="preserve"> digunakan karena sesuai dengan karakter masalah yang membutuhkan pemetaan kegagalan pada level komponen dan proses. </w:t>
      </w:r>
      <w:r w:rsidRPr="00872B6C">
        <w:rPr>
          <w:i/>
          <w:iCs/>
          <w:color w:val="000000" w:themeColor="text1"/>
          <w:sz w:val="22"/>
          <w:szCs w:val="22"/>
        </w:rPr>
        <w:t>Severity</w:t>
      </w:r>
      <w:r w:rsidRPr="001C7194">
        <w:rPr>
          <w:color w:val="000000" w:themeColor="text1"/>
          <w:sz w:val="22"/>
          <w:szCs w:val="22"/>
        </w:rPr>
        <w:t xml:space="preserve"> menunjukkan besarnya dampak kegagalan terhadap keselamatan, peralatan, produksi, dan lingkungan. </w:t>
      </w:r>
      <w:r w:rsidRPr="00872B6C">
        <w:rPr>
          <w:i/>
          <w:iCs/>
          <w:color w:val="000000" w:themeColor="text1"/>
          <w:sz w:val="22"/>
          <w:szCs w:val="22"/>
        </w:rPr>
        <w:t>Occurrence</w:t>
      </w:r>
      <w:r w:rsidRPr="001C7194">
        <w:rPr>
          <w:color w:val="000000" w:themeColor="text1"/>
          <w:sz w:val="22"/>
          <w:szCs w:val="22"/>
        </w:rPr>
        <w:t xml:space="preserve"> menunjukkan peluang atau kecenderungan kegagalan muncul dalam operasi. Detection menunjukkan kemampuan sistem kontrol, alarm, inspeksi, dan operator dalam mengenali kegagalan sebelum berkembang menjadi kondisi berbahaya. Perkalian ketiga parameter tersebut menghasilkan </w:t>
      </w:r>
      <w:r w:rsidRPr="00872B6C">
        <w:rPr>
          <w:i/>
          <w:iCs/>
          <w:color w:val="000000" w:themeColor="text1"/>
          <w:sz w:val="22"/>
          <w:szCs w:val="22"/>
        </w:rPr>
        <w:t>Risk Priority Number</w:t>
      </w:r>
      <w:r w:rsidRPr="001C7194">
        <w:rPr>
          <w:color w:val="000000" w:themeColor="text1"/>
          <w:sz w:val="22"/>
          <w:szCs w:val="22"/>
        </w:rPr>
        <w:t xml:space="preserve"> yang menjadi dasar pengurutan risiko. Dengan struktur ini, FMEA tidak hanya mengidentifikasi daftar kegagalan, tetapi juga memberi dasar kuantitatif untuk menentukan mode kegagalan mana yang perlu diprioritaskan dalam pengendalian risiko</w:t>
      </w:r>
      <w:r w:rsidR="00F558A9">
        <w:rPr>
          <w:color w:val="000000" w:themeColor="text1"/>
          <w:sz w:val="22"/>
          <w:szCs w:val="22"/>
        </w:rPr>
        <w:fldChar w:fldCharType="begin" w:fldLock="1"/>
      </w:r>
      <w:r w:rsidR="00F558A9">
        <w:rPr>
          <w:color w:val="000000" w:themeColor="text1"/>
          <w:sz w:val="22"/>
          <w:szCs w:val="22"/>
        </w:rPr>
        <w:instrText>ADDIN CSL_CITATION {"citationItems":[{"id":"ITEM-1","itemData":{"DOI":"10.25124/jrsi.v3i02.29","ISSN":"2356-0843","abstract":"PT ABC merupakan perusahaan cetak dalam skala nasional. Produk yang dihasilkan oleh perusahaan merupakan buku ajar, majalah, surat kabar, dan lain sebagainya. Kegiatan maintenance yang ada PT ABC terbagi menajadi dua, yaitu preventive maintenance setiap senin dan kamis serta kegiatan corrective maintenance yang dilakukan jika mesin mengalami kegagalan fungsi. Kegagalan fungsi pada mesin Komori masih cukup tinggi. Oleh karena itu, diperlukan kegiatan pecegahaan untuk meningkatkan reliabilitas mesin. Metode yang dilakukan adalah Reliability Centered Maintenance, yaitu dengan menganalisis failure yang terjadi dengan menggunakan analisis Failure Mode and Effect Analysis dan Decision Worksheet. Hasil dari analisis ini merupakan preventive task masing-masing komponen. Sedangkan untuk menganalisis risiko yang diakibatkan jika mesin mengalami gagal fungsi, yaitu dengan metode Risk Based Maintenance. Hasil yang diperoleh dari nilai risiko yang ditanggung perusahaan ketika mesin mengalami failure, yaitu sebesar Rp965.904.899,36. Berdasarkan hasil pengolahan data pada subsistem kritis diperoleh kesimpulan bahwa enam komponen dilakukan dengan task scheduled on condition, tiga komponen dengan task scheduled restoration, dan enam komponen dengan task scheduled discard. Sedangkan untuk interval waktu dalam pengerjaan preventive maintenance pada komponen tersebut disesuaikan dengan task yang diperoleh. Setelah mendapatkan interval waktu perawatan, kemudian ditentukan biaya perawatan usulan yang dikeluarkan perusahaan, yaitu sebesar Rp971.567.519,69.","author":[{"dropping-particle":"","family":"Dhamayanti","given":"Destina Surya","non-dropping-particle":"","parse-names":false,"suffix":""},{"dropping-particle":"","family":"Alhilman","given":"Judi","non-dropping-particle":"","parse-names":false,"suffix":""},{"dropping-particle":"","family":"Athari","given":"Nurdinintya","non-dropping-particle":"","parse-names":false,"suffix":""}],"container-title":"Jurnal Rekayasa Sistem &amp; Industri (JRSI)","id":"ITEM-1","issue":"02","issued":{"date-parts":[["2016"]]},"page":"31","title":"Usulan Preventive Maintenance Pada Mesin Komori Ls440 Dengan Menggunakan Metode Reliability Centered Maintenance (Rcm Ii) Dan Risk Based Maintenance (Rbm) Di Pt Abc","type":"article-journal","volume":"3"},"uris":["http://www.mendeley.com/documents/?uuid=0c29909e-02be-4991-b0b6-55ea9a2b012d"]},{"id":"ITEM-2","itemData":{"abstract":"Abstrak Losses dapat mengurangi efektifitas penggunaan peralatan dalam kegiatan proses produksi. Untuk mengetahui dan meminimumkan losses yang terjadi, diperlukan adanya evaluasi kinerja dari peralatan produksi. Mesin produksi Dual Filters DD07 merupakan salah satu peralatan produksi di perusahaan manufaktur filter rokok yang akan dievaluasi efektifitasnya. Pengukuran efektifitas mesin Dual Filters DDO7 dapat dilakukan dengan menggunakan metode Overall Equipment Effectiveness. Dalam perhitungan, OEE mengukur efektifitas dengan menggunakan tiga sudut pandang untuk mengidentifikasi six big losses (enam kerugian), yaitu availability, performance dan quality. Hasil penelitian menunjukkan bahwa rata-rata tingkat efektifitas mesin Dual Filters DD07 selama masa penelitian adalah sebesar 26.22%, dengan rata-rata nilai availability 69.88%, performance 45.37% dan quality 89.06%. Sedangkan, losses yang signifikan mempengaruhi nilai efektifitas adalah idling and minor stoppages losses dan reduced speed losses. Berdasarkan analisis menggunakan FMEA, dapat diketahui bahwa penyebab kegagalan yang akan diperbaiki sesuai urutan prioritas adalah settingan belt tiap operator berbeda, pengaturan timex tidak sesuai dan pisau hopper tumpul. Kata kunci: Overall Equipment Effectiveness, Failure Mode and Effect Analysis, Six Big Losses, Mesin Dual Filters 1. Pendahuluan Peningkatan produktivitas sangatlah penting bagi perusahaan untuk memperoleh keberhasilan pada proses usahanya. Salah satu contoh peningkatan produktivitas adalah dengan mengevaluasi kinerja fasilitas produksi pada perusahaan. Pada umumnya, masalah dari fasilitas produksi yang menyebabkan produksi terganggu atau terhenti sama sekali dapat dikategorikan menjadi tiga, yaitu dikarenakan oleh faktor manusia, mesin dan lingkungan. Ketiga hal tersebut dapat berpengaruh antara satu dengan yang lainnya. Salah satu cara untuk menyelesaikan permasalahan fasilitas produksi dan untuk mendukung peningkatan produktivitas adalah harus dilakukan evaluasi dan pemeliharaan secara intensif dari peralatan-peralatan (mesin) produksi, sehingga dapat digunakan seoptimal mungkin. Tetapi sering dijumpai tindakan perbaikan atau pemeliharaan yang dilakukan tidak tepat sasaran terhadap permasalahan yang sebenarnya, misalnya seperti pemeliharaan pada bagian yang tidak terjadi masalah atau melakukan pemeliharaan setelah terjadi masalah. Akibatnya, banyak ditemukan permasalahan pada suatu perusahaan bahwa kontribusi terbesar dari total biaya …","author":[{"dropping-particle":"","family":"Triwardani","given":"Dinda;","non-dropping-particle":"","parse-names":false,"suffix":""},{"dropping-particle":"","family":"Rahman","given":"Arif;","non-dropping-particle":"","parse-names":false,"suffix":""},{"dropping-particle":"","family":"Tantrika","given":"Ceria","non-dropping-particle":"","parse-names":false,"suffix":""}],"container-title":"Jurusan Teknik Industri Universitas Brawijaya","id":"ITEM-2","issued":{"date-parts":[["2012"]]},"page":"379-391","title":"Analisis Overall Equipment Effectiveness (OEE) dalam Meminimalisi Six Big Losses Pada Mesin Produksi Dual Filters DD07 (studi kasus : PT. Filtrona Indonesia, Surabaya, Jawa Timur","type":"article-journal","volume":"07"},"uris":["http://www.mendeley.com/documents/?uuid=aba9b960-06a3-4c79-ab92-4b1df2345599"]}],"mendeley":{"formattedCitation":"[19], [20]","plainTextFormattedCitation":"[19], [20]","previouslyFormattedCitation":"[19], [20]"},"properties":{"noteIndex":0},"schema":"https://github.com/citation-style-language/schema/raw/master/csl-citation.json"}</w:instrText>
      </w:r>
      <w:r w:rsidR="00F558A9">
        <w:rPr>
          <w:color w:val="000000" w:themeColor="text1"/>
          <w:sz w:val="22"/>
          <w:szCs w:val="22"/>
        </w:rPr>
        <w:fldChar w:fldCharType="separate"/>
      </w:r>
      <w:r w:rsidR="00F558A9" w:rsidRPr="00F558A9">
        <w:rPr>
          <w:noProof/>
          <w:color w:val="000000" w:themeColor="text1"/>
          <w:sz w:val="22"/>
          <w:szCs w:val="22"/>
        </w:rPr>
        <w:t>[19], [20]</w:t>
      </w:r>
      <w:r w:rsidR="00F558A9">
        <w:rPr>
          <w:color w:val="000000" w:themeColor="text1"/>
          <w:sz w:val="22"/>
          <w:szCs w:val="22"/>
        </w:rPr>
        <w:fldChar w:fldCharType="end"/>
      </w:r>
      <w:r w:rsidRPr="001C7194">
        <w:rPr>
          <w:color w:val="000000" w:themeColor="text1"/>
          <w:sz w:val="22"/>
          <w:szCs w:val="22"/>
        </w:rPr>
        <w:t>.</w:t>
      </w:r>
    </w:p>
    <w:p w14:paraId="60659A20" w14:textId="5B727185" w:rsidR="00EB0583" w:rsidRPr="00EB0583" w:rsidRDefault="001C7194" w:rsidP="00872B6C">
      <w:pPr>
        <w:widowControl w:val="0"/>
        <w:ind w:firstLine="426"/>
        <w:jc w:val="both"/>
        <w:rPr>
          <w:color w:val="000000" w:themeColor="text1"/>
          <w:sz w:val="22"/>
          <w:szCs w:val="22"/>
        </w:rPr>
      </w:pPr>
      <w:r w:rsidRPr="001C7194">
        <w:rPr>
          <w:color w:val="000000" w:themeColor="text1"/>
          <w:sz w:val="22"/>
          <w:szCs w:val="22"/>
        </w:rPr>
        <w:t xml:space="preserve">Penelitian ini menganalisis risiko </w:t>
      </w:r>
      <w:r w:rsidRPr="00872B6C">
        <w:rPr>
          <w:i/>
          <w:iCs/>
          <w:color w:val="000000" w:themeColor="text1"/>
          <w:sz w:val="22"/>
          <w:szCs w:val="22"/>
        </w:rPr>
        <w:t>overpressure</w:t>
      </w:r>
      <w:r w:rsidRPr="001C7194">
        <w:rPr>
          <w:color w:val="000000" w:themeColor="text1"/>
          <w:sz w:val="22"/>
          <w:szCs w:val="22"/>
        </w:rPr>
        <w:t xml:space="preserve"> pada </w:t>
      </w:r>
      <w:r w:rsidRPr="00872B6C">
        <w:rPr>
          <w:i/>
          <w:iCs/>
          <w:color w:val="000000" w:themeColor="text1"/>
          <w:sz w:val="22"/>
          <w:szCs w:val="22"/>
        </w:rPr>
        <w:t>Propylene Recovery Unit</w:t>
      </w:r>
      <w:r w:rsidRPr="001C7194">
        <w:rPr>
          <w:color w:val="000000" w:themeColor="text1"/>
          <w:sz w:val="22"/>
          <w:szCs w:val="22"/>
        </w:rPr>
        <w:t xml:space="preserve"> menggunakan </w:t>
      </w:r>
      <w:r w:rsidRPr="001C7194">
        <w:rPr>
          <w:color w:val="000000" w:themeColor="text1"/>
          <w:sz w:val="22"/>
          <w:szCs w:val="22"/>
        </w:rPr>
        <w:lastRenderedPageBreak/>
        <w:t xml:space="preserve">FMEA dengan fokus pada delapan </w:t>
      </w:r>
      <w:r w:rsidRPr="00872B6C">
        <w:rPr>
          <w:i/>
          <w:iCs/>
          <w:color w:val="000000" w:themeColor="text1"/>
          <w:sz w:val="22"/>
          <w:szCs w:val="22"/>
        </w:rPr>
        <w:t>failure</w:t>
      </w:r>
      <w:r w:rsidRPr="001C7194">
        <w:rPr>
          <w:color w:val="000000" w:themeColor="text1"/>
          <w:sz w:val="22"/>
          <w:szCs w:val="22"/>
        </w:rPr>
        <w:t xml:space="preserve"> mode kritis, yaitu tekanan kolom distilasi tidak terkontrol, PRV/PSV </w:t>
      </w:r>
      <w:r w:rsidRPr="00872B6C">
        <w:rPr>
          <w:i/>
          <w:iCs/>
          <w:color w:val="000000" w:themeColor="text1"/>
          <w:sz w:val="22"/>
          <w:szCs w:val="22"/>
        </w:rPr>
        <w:t>stuck</w:t>
      </w:r>
      <w:r w:rsidRPr="001C7194">
        <w:rPr>
          <w:color w:val="000000" w:themeColor="text1"/>
          <w:sz w:val="22"/>
          <w:szCs w:val="22"/>
        </w:rPr>
        <w:t xml:space="preserve">, </w:t>
      </w:r>
      <w:r w:rsidRPr="00872B6C">
        <w:rPr>
          <w:i/>
          <w:iCs/>
          <w:color w:val="000000" w:themeColor="text1"/>
          <w:sz w:val="22"/>
          <w:szCs w:val="22"/>
        </w:rPr>
        <w:t>pressure transmitter error</w:t>
      </w:r>
      <w:r w:rsidRPr="001C7194">
        <w:rPr>
          <w:color w:val="000000" w:themeColor="text1"/>
          <w:sz w:val="22"/>
          <w:szCs w:val="22"/>
        </w:rPr>
        <w:t xml:space="preserve">, </w:t>
      </w:r>
      <w:r w:rsidRPr="00872B6C">
        <w:rPr>
          <w:i/>
          <w:iCs/>
          <w:color w:val="000000" w:themeColor="text1"/>
          <w:sz w:val="22"/>
          <w:szCs w:val="22"/>
        </w:rPr>
        <w:t>control valve stuck</w:t>
      </w:r>
      <w:r w:rsidRPr="001C7194">
        <w:rPr>
          <w:color w:val="000000" w:themeColor="text1"/>
          <w:sz w:val="22"/>
          <w:szCs w:val="22"/>
        </w:rPr>
        <w:t xml:space="preserve">, kebocoran pipa bertekanan, </w:t>
      </w:r>
      <w:r w:rsidRPr="00872B6C">
        <w:rPr>
          <w:i/>
          <w:iCs/>
          <w:color w:val="000000" w:themeColor="text1"/>
          <w:sz w:val="22"/>
          <w:szCs w:val="22"/>
        </w:rPr>
        <w:t>heat exchanger fouling</w:t>
      </w:r>
      <w:r w:rsidRPr="001C7194">
        <w:rPr>
          <w:color w:val="000000" w:themeColor="text1"/>
          <w:sz w:val="22"/>
          <w:szCs w:val="22"/>
        </w:rPr>
        <w:t xml:space="preserve">, HIPPS gagal berfungsi, dan </w:t>
      </w:r>
      <w:r w:rsidRPr="00872B6C">
        <w:rPr>
          <w:i/>
          <w:iCs/>
          <w:color w:val="000000" w:themeColor="text1"/>
          <w:sz w:val="22"/>
          <w:szCs w:val="22"/>
        </w:rPr>
        <w:t>human error</w:t>
      </w:r>
      <w:r w:rsidRPr="001C7194">
        <w:rPr>
          <w:color w:val="000000" w:themeColor="text1"/>
          <w:sz w:val="22"/>
          <w:szCs w:val="22"/>
        </w:rPr>
        <w:t xml:space="preserve"> operasi. Analisis diarahkan untuk menjawab kebutuhan teknis: </w:t>
      </w:r>
      <w:r w:rsidRPr="00872B6C">
        <w:rPr>
          <w:i/>
          <w:iCs/>
          <w:color w:val="000000" w:themeColor="text1"/>
          <w:sz w:val="22"/>
          <w:szCs w:val="22"/>
        </w:rPr>
        <w:t>failure</w:t>
      </w:r>
      <w:r w:rsidRPr="001C7194">
        <w:rPr>
          <w:color w:val="000000" w:themeColor="text1"/>
          <w:sz w:val="22"/>
          <w:szCs w:val="22"/>
        </w:rPr>
        <w:t xml:space="preserve"> mode apa yang paling kritis, bagaimana tingkat risikonya berdasarkan </w:t>
      </w:r>
      <w:r w:rsidRPr="00872B6C">
        <w:rPr>
          <w:i/>
          <w:iCs/>
          <w:color w:val="000000" w:themeColor="text1"/>
          <w:sz w:val="22"/>
          <w:szCs w:val="22"/>
        </w:rPr>
        <w:t>severity</w:t>
      </w:r>
      <w:r w:rsidRPr="001C7194">
        <w:rPr>
          <w:color w:val="000000" w:themeColor="text1"/>
          <w:sz w:val="22"/>
          <w:szCs w:val="22"/>
        </w:rPr>
        <w:t xml:space="preserve">, </w:t>
      </w:r>
      <w:r w:rsidRPr="00872B6C">
        <w:rPr>
          <w:i/>
          <w:iCs/>
          <w:color w:val="000000" w:themeColor="text1"/>
          <w:sz w:val="22"/>
          <w:szCs w:val="22"/>
        </w:rPr>
        <w:t>occurrence</w:t>
      </w:r>
      <w:r w:rsidRPr="001C7194">
        <w:rPr>
          <w:color w:val="000000" w:themeColor="text1"/>
          <w:sz w:val="22"/>
          <w:szCs w:val="22"/>
        </w:rPr>
        <w:t xml:space="preserve">, dan </w:t>
      </w:r>
      <w:r w:rsidRPr="00872B6C">
        <w:rPr>
          <w:i/>
          <w:iCs/>
          <w:color w:val="000000" w:themeColor="text1"/>
          <w:sz w:val="22"/>
          <w:szCs w:val="22"/>
        </w:rPr>
        <w:t>detection</w:t>
      </w:r>
      <w:r w:rsidRPr="001C7194">
        <w:rPr>
          <w:color w:val="000000" w:themeColor="text1"/>
          <w:sz w:val="22"/>
          <w:szCs w:val="22"/>
        </w:rPr>
        <w:t>, serta tindakan mitigasi apa yang paling logis disusun berdasarkan urutan RPN. Dengan cara ini, rekomendasi mitigasi tidak diletakkan sebagai klaim keberhasilan implementasi, tetapi sebagai hasil prioritisasi risiko yang diturunkan dari karakter kegagalan PRU</w:t>
      </w:r>
      <w:r w:rsidR="00F558A9">
        <w:rPr>
          <w:color w:val="000000" w:themeColor="text1"/>
          <w:sz w:val="22"/>
          <w:szCs w:val="22"/>
        </w:rPr>
        <w:fldChar w:fldCharType="begin" w:fldLock="1"/>
      </w:r>
      <w:r w:rsidR="00F558A9">
        <w:rPr>
          <w:color w:val="000000" w:themeColor="text1"/>
          <w:sz w:val="22"/>
          <w:szCs w:val="22"/>
        </w:rPr>
        <w:instrText>ADDIN CSL_CITATION {"citationItems":[{"id":"ITEM-1","itemData":{"DOI":"10.56211/factory.v4i2.1382","abstract":"&amp;lt;table width=&amp;quot;643&amp;quot;&amp;gt;&amp;lt;tbody&amp;gt;&amp;lt;tr&amp;gt;&amp;lt;td width=&amp;quot;374&amp;quot;&amp;gt;&amp;lt;p&amp;gt;Industri manufaktur global menghadapi tantangan kompleks dalam mengelola proyek pemindahan fasilitas produksi, dimana keterlambatan dapat mengakibatkan kerugian finansial signifikan dan gangguan operasional berkepanjangan, khususnya dalam industri makanan dan minuman yang memiliki kompleksitas peralatan tinggi dan standar keamanan pangan ketat. Penelitian ini bertujuan mengidentifikasi aktivitas jalur kritis, menentukan durasi optimal penyelesaian proyek, dan menganalisis aktivitas dengan float time dalam pemindahan sarana produksi krimer retail di PT X menggunakan metode Critical Path Method (CPM). Penelitian menggunakan pendekatan kuantitatif deskriptif dengan studi kasus tunggal, pengumpulan data melalui observasi lapangan, wawancara terstruktur dengan 8 responden (manajer proyek, technical engineer, maintenance staff, logistics coordinator, quality assurance, external mover, dan safety officer), serta dokumentasi perusahaan mencakup work breakdown structure dan laporan progres. Analisis data dilakukan melalui tahapan identifikasi 12 aktivitas proyek, penentuan dependensi, estimasi durasi, pembuatan diagram jaringan activity-on-node, perhitungan forward pass dan backward pass, serta identifikasi jalur kritis dan float time. Hasil penelitian menunjukkan bahwa proyek pemindahan sarana produksi krim</w:instrText>
      </w:r>
      <w:r w:rsidR="00F558A9">
        <w:rPr>
          <w:rFonts w:hint="eastAsia"/>
          <w:color w:val="000000" w:themeColor="text1"/>
          <w:sz w:val="22"/>
          <w:szCs w:val="22"/>
        </w:rPr>
        <w:instrText>er retail di PT X dijadwalkan selesai dalam waktu optimal selama 36 hari kerja berdasarkan perhitungan CPM denga mengidentifikasi sembilan aktivitas kritis (A</w:instrText>
      </w:r>
      <w:r w:rsidR="00F558A9">
        <w:rPr>
          <w:rFonts w:hint="eastAsia"/>
          <w:color w:val="000000" w:themeColor="text1"/>
          <w:sz w:val="22"/>
          <w:szCs w:val="22"/>
        </w:rPr>
        <w:instrText>→</w:instrText>
      </w:r>
      <w:r w:rsidR="00F558A9">
        <w:rPr>
          <w:rFonts w:hint="eastAsia"/>
          <w:color w:val="000000" w:themeColor="text1"/>
          <w:sz w:val="22"/>
          <w:szCs w:val="22"/>
        </w:rPr>
        <w:instrText>B</w:instrText>
      </w:r>
      <w:r w:rsidR="00F558A9">
        <w:rPr>
          <w:rFonts w:hint="eastAsia"/>
          <w:color w:val="000000" w:themeColor="text1"/>
          <w:sz w:val="22"/>
          <w:szCs w:val="22"/>
        </w:rPr>
        <w:instrText>→</w:instrText>
      </w:r>
      <w:r w:rsidR="00F558A9">
        <w:rPr>
          <w:rFonts w:hint="eastAsia"/>
          <w:color w:val="000000" w:themeColor="text1"/>
          <w:sz w:val="22"/>
          <w:szCs w:val="22"/>
        </w:rPr>
        <w:instrText>C</w:instrText>
      </w:r>
      <w:r w:rsidR="00F558A9">
        <w:rPr>
          <w:rFonts w:hint="eastAsia"/>
          <w:color w:val="000000" w:themeColor="text1"/>
          <w:sz w:val="22"/>
          <w:szCs w:val="22"/>
        </w:rPr>
        <w:instrText>→</w:instrText>
      </w:r>
      <w:r w:rsidR="00F558A9">
        <w:rPr>
          <w:rFonts w:hint="eastAsia"/>
          <w:color w:val="000000" w:themeColor="text1"/>
          <w:sz w:val="22"/>
          <w:szCs w:val="22"/>
        </w:rPr>
        <w:instrText>E</w:instrText>
      </w:r>
      <w:r w:rsidR="00F558A9">
        <w:rPr>
          <w:rFonts w:hint="eastAsia"/>
          <w:color w:val="000000" w:themeColor="text1"/>
          <w:sz w:val="22"/>
          <w:szCs w:val="22"/>
        </w:rPr>
        <w:instrText>→</w:instrText>
      </w:r>
      <w:r w:rsidR="00F558A9">
        <w:rPr>
          <w:rFonts w:hint="eastAsia"/>
          <w:color w:val="000000" w:themeColor="text1"/>
          <w:sz w:val="22"/>
          <w:szCs w:val="22"/>
        </w:rPr>
        <w:instrText>F</w:instrText>
      </w:r>
      <w:r w:rsidR="00F558A9">
        <w:rPr>
          <w:rFonts w:hint="eastAsia"/>
          <w:color w:val="000000" w:themeColor="text1"/>
          <w:sz w:val="22"/>
          <w:szCs w:val="22"/>
        </w:rPr>
        <w:instrText>→</w:instrText>
      </w:r>
      <w:r w:rsidR="00F558A9">
        <w:rPr>
          <w:rFonts w:hint="eastAsia"/>
          <w:color w:val="000000" w:themeColor="text1"/>
          <w:sz w:val="22"/>
          <w:szCs w:val="22"/>
        </w:rPr>
        <w:instrText>H</w:instrText>
      </w:r>
      <w:r w:rsidR="00F558A9">
        <w:rPr>
          <w:rFonts w:hint="eastAsia"/>
          <w:color w:val="000000" w:themeColor="text1"/>
          <w:sz w:val="22"/>
          <w:szCs w:val="22"/>
        </w:rPr>
        <w:instrText>→</w:instrText>
      </w:r>
      <w:r w:rsidR="00F558A9">
        <w:rPr>
          <w:rFonts w:hint="eastAsia"/>
          <w:color w:val="000000" w:themeColor="text1"/>
          <w:sz w:val="22"/>
          <w:szCs w:val="22"/>
        </w:rPr>
        <w:instrText>J</w:instrText>
      </w:r>
      <w:r w:rsidR="00F558A9">
        <w:rPr>
          <w:rFonts w:hint="eastAsia"/>
          <w:color w:val="000000" w:themeColor="text1"/>
          <w:sz w:val="22"/>
          <w:szCs w:val="22"/>
        </w:rPr>
        <w:instrText>→</w:instrText>
      </w:r>
      <w:r w:rsidR="00F558A9">
        <w:rPr>
          <w:rFonts w:hint="eastAsia"/>
          <w:color w:val="000000" w:themeColor="text1"/>
          <w:sz w:val="22"/>
          <w:szCs w:val="22"/>
        </w:rPr>
        <w:instrText>K</w:instrText>
      </w:r>
      <w:r w:rsidR="00F558A9">
        <w:rPr>
          <w:rFonts w:hint="eastAsia"/>
          <w:color w:val="000000" w:themeColor="text1"/>
          <w:sz w:val="22"/>
          <w:szCs w:val="22"/>
        </w:rPr>
        <w:instrText>→</w:instrText>
      </w:r>
      <w:r w:rsidR="00F558A9">
        <w:rPr>
          <w:rFonts w:hint="eastAsia"/>
          <w:color w:val="000000" w:themeColor="text1"/>
          <w:sz w:val="22"/>
          <w:szCs w:val="22"/>
        </w:rPr>
        <w:instrText>L) yang merepresentasikan 83,3% dari keseluruhan aktivitas dengan durasi optimal 3</w:instrText>
      </w:r>
      <w:r w:rsidR="00F558A9">
        <w:rPr>
          <w:color w:val="000000" w:themeColor="text1"/>
          <w:sz w:val="22"/>
          <w:szCs w:val="22"/>
        </w:rPr>
        <w:instrText>6 hari kerja atau 7,2 minggu. Aktivitas dengan durasi terpanjang meliputi persiapan pondasi dan utilitas (7 hari), pembongkaran mesin line 1 (6 hari), dan instalasi mesin (6 hari). Dua aktivitas non-kritis teridentifikasi memiliki float time yaitu pembongkaran mesin line 2 (1 hari) dan koneksi listrik dan pendingin (6 hari), memberikan fleksibilitas strategis dalam alokasi sumber daya. Penelitian merekomendasikan penerapan monitoring intensif pada aktivitas kritis, implementasi teknik fast-tracking, dan pemanfaatan float time sebagai buffer temporal untuk mengantisipasi kendala teknis guna meminimalkan risiko keterlambatan dan memastikan kelancaran transisi operasional.&amp;lt;/p&amp;gt;&amp;lt;/td&amp;gt;&amp;lt;/tr&amp;gt;&amp;lt;/tbody&amp;gt;&amp;lt;/table&amp;gt;","author":[{"dropping-particle":"","family":"Prasisko","given":"Bily","non-dropping-particle":"","parse-names":false,"suffix":""},{"dropping-particle":"","family":"Jumali","given":"Muhamad Abdul","non-dropping-particle":"","parse-names":false,"suffix":""}],"container-title":"Factory Jurnal Industri, Manajemen dan Rekayasa Sistem Industri","id":"ITEM-1","issue":"2 SE  - Articles","issued":{"date-parts":[["2026","1","5"]]},"page":"246-257","title":"Indentifikasi Jalur Kritis pada Proses Pemindahan Sarana Produksi Krimer Retail dengan Metode CPM pada PT X","type":"article-journal","volume":"4"},"uris":["http://www.mendeley.com/documents/?uuid=596bba41-16ef-42ae-8e79-a5963622c681"]},{"id":"ITEM-2","itemData":{"author":[{"dropping-particle":"","family":"Fassa","given":"F","non-dropping-particle":"","parse-names":false,"suffix":""},{"dropping-particle":"","family":"Soekiman","given":"A","non-dropping-particle":"","parse-names":false,"suffix":""},{"dropping-particle":"","family":"Wibowo","given":"A","non-dropping-particle":"","parse-names":false,"suffix":""}],"container-title":"Simposium Nasional Teknologi Infrastruktur Abad Ke-21, February","id":"ITEM-2","issued":{"date-parts":[["2021"]]},"title":"Manajemen Risiko di Industri Konstruksi Periode 2017 s. d 2020: Tinjauan Sistematis dan Analisis Konten","type":"article-journal"},"uris":["http://www.mendeley.com/documents/?uuid=90afa800-69b9-44ba-b55a-1cb4e0ca05b2"]}],"mendeley":{"formattedCitation":"[21], [22]","plainTextFormattedCitation":"[21], [22]","previouslyFormattedCitation":"[21], [22]"},"properties":{"noteIndex":0},"schema":"https://github.com/citation-style-language/schema/raw/master/csl-citation.json"}</w:instrText>
      </w:r>
      <w:r w:rsidR="00F558A9">
        <w:rPr>
          <w:color w:val="000000" w:themeColor="text1"/>
          <w:sz w:val="22"/>
          <w:szCs w:val="22"/>
        </w:rPr>
        <w:fldChar w:fldCharType="separate"/>
      </w:r>
      <w:r w:rsidR="00F558A9" w:rsidRPr="00F558A9">
        <w:rPr>
          <w:noProof/>
          <w:color w:val="000000" w:themeColor="text1"/>
          <w:sz w:val="22"/>
          <w:szCs w:val="22"/>
        </w:rPr>
        <w:t>[21], [22]</w:t>
      </w:r>
      <w:r w:rsidR="00F558A9">
        <w:rPr>
          <w:color w:val="000000" w:themeColor="text1"/>
          <w:sz w:val="22"/>
          <w:szCs w:val="22"/>
        </w:rPr>
        <w:fldChar w:fldCharType="end"/>
      </w:r>
      <w:r w:rsidRPr="001C7194">
        <w:rPr>
          <w:color w:val="000000" w:themeColor="text1"/>
          <w:sz w:val="22"/>
          <w:szCs w:val="22"/>
        </w:rPr>
        <w:t>.</w:t>
      </w:r>
    </w:p>
    <w:p w14:paraId="44A5EC14" w14:textId="77777777" w:rsidR="00695CE7" w:rsidRDefault="00695CE7">
      <w:pPr>
        <w:ind w:firstLine="720"/>
        <w:jc w:val="both"/>
        <w:rPr>
          <w:color w:val="000000"/>
          <w:sz w:val="20"/>
          <w:szCs w:val="20"/>
        </w:rPr>
      </w:pPr>
    </w:p>
    <w:p w14:paraId="2C5E8B97" w14:textId="29ABCCC1" w:rsidR="00695CE7" w:rsidRDefault="00106295" w:rsidP="00033CD7">
      <w:pPr>
        <w:numPr>
          <w:ilvl w:val="0"/>
          <w:numId w:val="6"/>
        </w:numPr>
        <w:pBdr>
          <w:top w:val="nil"/>
          <w:left w:val="nil"/>
          <w:bottom w:val="nil"/>
          <w:right w:val="nil"/>
          <w:between w:val="nil"/>
        </w:pBdr>
        <w:spacing w:line="276" w:lineRule="auto"/>
        <w:ind w:left="426" w:hanging="426"/>
      </w:pPr>
      <w:r>
        <w:rPr>
          <w:b/>
          <w:color w:val="000000"/>
        </w:rPr>
        <w:t xml:space="preserve">METODE </w:t>
      </w:r>
    </w:p>
    <w:p w14:paraId="51C1BE81" w14:textId="76EC2853" w:rsidR="00467989" w:rsidRPr="00033CD7" w:rsidRDefault="00467989" w:rsidP="00033CD7">
      <w:pPr>
        <w:pStyle w:val="NormalWeb"/>
        <w:spacing w:before="0" w:beforeAutospacing="0" w:after="0" w:afterAutospacing="0"/>
        <w:ind w:firstLine="720"/>
        <w:jc w:val="both"/>
        <w:rPr>
          <w:rFonts w:asciiTheme="majorBidi" w:hAnsiTheme="majorBidi" w:cstheme="majorBidi"/>
          <w:sz w:val="22"/>
          <w:szCs w:val="22"/>
        </w:rPr>
      </w:pPr>
      <w:r w:rsidRPr="00033CD7">
        <w:rPr>
          <w:rFonts w:asciiTheme="majorBidi" w:hAnsiTheme="majorBidi" w:cstheme="majorBidi"/>
          <w:sz w:val="22"/>
          <w:szCs w:val="22"/>
        </w:rPr>
        <w:t xml:space="preserve">Penelitian ini menggunakan pendekatan kuantitatif deskriptif untuk menganalisis risiko overpressure pada </w:t>
      </w:r>
      <w:r w:rsidRPr="00033CD7">
        <w:rPr>
          <w:rFonts w:asciiTheme="majorBidi" w:hAnsiTheme="majorBidi" w:cstheme="majorBidi"/>
          <w:i/>
          <w:iCs/>
          <w:sz w:val="22"/>
          <w:szCs w:val="22"/>
        </w:rPr>
        <w:t>Propylene Recovery Unit</w:t>
      </w:r>
      <w:r w:rsidRPr="00033CD7">
        <w:rPr>
          <w:rFonts w:asciiTheme="majorBidi" w:hAnsiTheme="majorBidi" w:cstheme="majorBidi"/>
          <w:sz w:val="22"/>
          <w:szCs w:val="22"/>
        </w:rPr>
        <w:t xml:space="preserve"> (PRU) menggunakan </w:t>
      </w:r>
      <w:r w:rsidRPr="00033CD7">
        <w:rPr>
          <w:rFonts w:asciiTheme="majorBidi" w:hAnsiTheme="majorBidi" w:cstheme="majorBidi"/>
          <w:i/>
          <w:iCs/>
          <w:sz w:val="22"/>
          <w:szCs w:val="22"/>
        </w:rPr>
        <w:t>Failure Mode and Effects Analysis</w:t>
      </w:r>
      <w:r w:rsidRPr="00033CD7">
        <w:rPr>
          <w:rFonts w:asciiTheme="majorBidi" w:hAnsiTheme="majorBidi" w:cstheme="majorBidi"/>
          <w:sz w:val="22"/>
          <w:szCs w:val="22"/>
        </w:rPr>
        <w:t xml:space="preserve"> (FMEA). Pendekatan ini dipilih karena FMEA mampu mengidentifikasi mode kegagalan, penyebab kegagalan, dampak sistem, kemampuan deteksi, serta prioritas risiko melalui parameter </w:t>
      </w:r>
      <w:r w:rsidRPr="00033CD7">
        <w:rPr>
          <w:rFonts w:asciiTheme="majorBidi" w:hAnsiTheme="majorBidi" w:cstheme="majorBidi"/>
          <w:i/>
          <w:iCs/>
          <w:sz w:val="22"/>
          <w:szCs w:val="22"/>
        </w:rPr>
        <w:t>severity</w:t>
      </w:r>
      <w:r w:rsidRPr="00033CD7">
        <w:rPr>
          <w:rFonts w:asciiTheme="majorBidi" w:hAnsiTheme="majorBidi" w:cstheme="majorBidi"/>
          <w:sz w:val="22"/>
          <w:szCs w:val="22"/>
        </w:rPr>
        <w:t xml:space="preserve">, </w:t>
      </w:r>
      <w:r w:rsidRPr="00033CD7">
        <w:rPr>
          <w:rFonts w:asciiTheme="majorBidi" w:hAnsiTheme="majorBidi" w:cstheme="majorBidi"/>
          <w:i/>
          <w:iCs/>
          <w:sz w:val="22"/>
          <w:szCs w:val="22"/>
        </w:rPr>
        <w:t>occurrence</w:t>
      </w:r>
      <w:r w:rsidRPr="00033CD7">
        <w:rPr>
          <w:rFonts w:asciiTheme="majorBidi" w:hAnsiTheme="majorBidi" w:cstheme="majorBidi"/>
          <w:sz w:val="22"/>
          <w:szCs w:val="22"/>
        </w:rPr>
        <w:t xml:space="preserve">, dan </w:t>
      </w:r>
      <w:r w:rsidRPr="00033CD7">
        <w:rPr>
          <w:rFonts w:asciiTheme="majorBidi" w:hAnsiTheme="majorBidi" w:cstheme="majorBidi"/>
          <w:i/>
          <w:iCs/>
          <w:sz w:val="22"/>
          <w:szCs w:val="22"/>
        </w:rPr>
        <w:t>detection</w:t>
      </w:r>
      <w:r w:rsidRPr="00033CD7">
        <w:rPr>
          <w:rFonts w:asciiTheme="majorBidi" w:hAnsiTheme="majorBidi" w:cstheme="majorBidi"/>
          <w:sz w:val="22"/>
          <w:szCs w:val="22"/>
        </w:rPr>
        <w:t xml:space="preserve"> </w:t>
      </w:r>
      <w:r w:rsidR="00F558A9">
        <w:rPr>
          <w:rFonts w:asciiTheme="majorBidi" w:hAnsiTheme="majorBidi" w:cstheme="majorBidi"/>
          <w:sz w:val="22"/>
          <w:szCs w:val="22"/>
        </w:rPr>
        <w:fldChar w:fldCharType="begin" w:fldLock="1"/>
      </w:r>
      <w:r w:rsidR="00E72053">
        <w:rPr>
          <w:rFonts w:asciiTheme="majorBidi" w:hAnsiTheme="majorBidi" w:cstheme="majorBidi"/>
          <w:sz w:val="22"/>
          <w:szCs w:val="22"/>
        </w:rPr>
        <w:instrText>ADDIN CSL_CITATION {"citationItems":[{"id":"ITEM-1","itemData":{"author":[{"dropping-particle":"","family":"Popov","given":"Georgi","non-dropping-particle":"","parse-names":false,"suffix":""},{"dropping-particle":"","family":"Lyon","given":"Bruce K","non-dropping-particle":"","parse-names":false,"suffix":""},{"dropping-particle":"","family":"Hollcroft","given":"Bruce D","non-dropping-particle":"","parse-names":false,"suffix":""}],"id":"ITEM-1","issued":{"date-parts":[["2022"]]},"publisher":"Wiley","title":"Risk Assessment: A Practical Guide to Assessing Operational Risks","type":"book"},"uris":["http://www.mendeley.com/documents/?uuid=45910497-d978-4b90-bc6a-47d7882226ca"]},{"id":"ITEM-2","itemData":{"author":[{"dropping-particle":"","family":"Standardization","given":"International Organization for","non-dropping-particle":"","parse-names":false,"suffix":""}],"id":"ITEM-2","issued":{"date-parts":[["2019"]]},"publisher":"International Organization for Standardization","title":"ISO 31010:2019 Risk Management: Risk Assessment Techniques","type":"article"},"uris":["http://www.mendeley.com/documents/?uuid=ff5855e4-7ec5-43ea-9a9d-e061ed37a193"]}],"mendeley":{"formattedCitation":"[23], [24]","plainTextFormattedCitation":"[23], [24]","previouslyFormattedCitation":"[23], [24]"},"properties":{"noteIndex":0},"schema":"https://github.com/citation-style-language/schema/raw/master/csl-citation.json"}</w:instrText>
      </w:r>
      <w:r w:rsidR="00F558A9">
        <w:rPr>
          <w:rFonts w:asciiTheme="majorBidi" w:hAnsiTheme="majorBidi" w:cstheme="majorBidi"/>
          <w:sz w:val="22"/>
          <w:szCs w:val="22"/>
        </w:rPr>
        <w:fldChar w:fldCharType="separate"/>
      </w:r>
      <w:r w:rsidR="00F558A9" w:rsidRPr="00F558A9">
        <w:rPr>
          <w:rFonts w:asciiTheme="majorBidi" w:hAnsiTheme="majorBidi" w:cstheme="majorBidi"/>
          <w:noProof/>
          <w:sz w:val="22"/>
          <w:szCs w:val="22"/>
        </w:rPr>
        <w:t>[23], [24]</w:t>
      </w:r>
      <w:r w:rsidR="00F558A9">
        <w:rPr>
          <w:rFonts w:asciiTheme="majorBidi" w:hAnsiTheme="majorBidi" w:cstheme="majorBidi"/>
          <w:sz w:val="22"/>
          <w:szCs w:val="22"/>
        </w:rPr>
        <w:fldChar w:fldCharType="end"/>
      </w:r>
      <w:r w:rsidRPr="00033CD7">
        <w:rPr>
          <w:rFonts w:asciiTheme="majorBidi" w:hAnsiTheme="majorBidi" w:cstheme="majorBidi"/>
          <w:sz w:val="22"/>
          <w:szCs w:val="22"/>
        </w:rPr>
        <w:t xml:space="preserve">. Dalam sistem proses hidrokarbon, pendekatan berbasis FMEA digunakan ketika risiko tidak hanya dipengaruhi oleh konsekuensi kegagalan, tetapi juga oleh probabilitas kejadian dan efektivitas deteksi sebelum kondisi berkembang menjadi skenario kecelakaan proses </w:t>
      </w:r>
      <w:r w:rsidR="00E72053">
        <w:rPr>
          <w:rFonts w:asciiTheme="majorBidi" w:hAnsiTheme="majorBidi" w:cstheme="majorBidi"/>
          <w:sz w:val="22"/>
          <w:szCs w:val="22"/>
        </w:rPr>
        <w:fldChar w:fldCharType="begin" w:fldLock="1"/>
      </w:r>
      <w:r w:rsidR="00E72053">
        <w:rPr>
          <w:rFonts w:asciiTheme="majorBidi" w:hAnsiTheme="majorBidi" w:cstheme="majorBidi"/>
          <w:sz w:val="22"/>
          <w:szCs w:val="22"/>
        </w:rPr>
        <w:instrText>ADDIN CSL_CITATION {"citationItems":[{"id":"ITEM-1","itemData":{"DOI":"10.1287/mnsc.2018.3253","ISSN":"0025-1909","abstract":"We combine ideas from machine learning (ML) and operations research and management science (OR/MS) in developing a framework, along with specific methods, for using data to prescribe optimal decisions in OR/MS problems. In a departure from other work on data-driven optimization, we consider data consisting, not only of observations of quantities with direct effect on costs/revenues, such as demand or returns, but also predominantly of observations of associated auxiliary quantities. The main problem of interest is a conditional stochastic optimization problem, given imperfect observations, where the joint probability distributions that specify the problem are unknown. We demonstrate how our proposed methods are generally applicable to a wide range of decision problems and prove that they are computationally tractable and asymptotically optimal under mild conditions, even when data are not independent and identically distributed and for censored observations. We extend these to the case in which some decision variables, such as price, may affect uncertainty and their causal effects are unknown. We develop the coefficient of prescriptiveness P to measure the prescriptive content of data and the efficacy of a policy from an operations perspective. We demonstrate our approach in an inventory management problem faced by the distribution arm of a large media company, shipping 1 billion units yearly. We leverage both internal data and public data harvested from IMDb, Rotten Tomatoes, and Google to prescribe operational decisions that outperform baseline measures. Specifically, the data we collect, leveraged by our methods, account for an 88% improvement as measured by our coefficient of prescriptiveness.This paper was accepted by Noah Gans, optimization.","author":[{"dropping-particle":"","family":"Bertsimas","given":"Dimitris","non-dropping-particle":"","parse-names":false,"suffix":""},{"dropping-particle":"","family":"Kallus","given":"Nathan","non-dropping-particle":"","parse-names":false,"suffix":""}],"container-title":"Management Science","id":"ITEM-1","issue":"3","issued":{"date-parts":[["2019","8"]]},"page":"1025-1044","publisher":"INFORMS","title":"From Predictive to Prescriptive Analytics","type":"article-journal","volume":"66"},"uris":["http://www.mendeley.com/documents/?uuid=d7244a97-3b54-42e1-83d6-a0a1601cfda6"]},{"id":"ITEM-2","itemData":{"DOI":"10.1038/clpt.1981.154","ISSN":"0009-9236","author":[{"dropping-particle":"","family":"Naranjo","given":"C A","non-dropping-particle":"","parse-names":false,"suffix":""}],"container-title":"Clinical Pharmacology and Therapeutics","id":"ITEM-2","issue":"2","issued":{"date-parts":[["1981"]]},"note":"Cited By (since 1981): 9615","page":"239-245","title":"A method for estimating the probability of adverse drug reactions","type":"article-journal","volume":"30"},"uris":["http://www.mendeley.com/documents/?uuid=9ab6a1c9-4f30-4b77-99aa-580dcffded21"]}],"mendeley":{"formattedCitation":"[25], [26]","plainTextFormattedCitation":"[25], [26]","previouslyFormattedCitation":"[25], [26]"},"properties":{"noteIndex":0},"schema":"https://github.com/citation-style-language/schema/raw/master/csl-citation.json"}</w:instrText>
      </w:r>
      <w:r w:rsidR="00E72053">
        <w:rPr>
          <w:rFonts w:asciiTheme="majorBidi" w:hAnsiTheme="majorBidi" w:cstheme="majorBidi"/>
          <w:sz w:val="22"/>
          <w:szCs w:val="22"/>
        </w:rPr>
        <w:fldChar w:fldCharType="separate"/>
      </w:r>
      <w:r w:rsidR="00E72053" w:rsidRPr="00E72053">
        <w:rPr>
          <w:rFonts w:asciiTheme="majorBidi" w:hAnsiTheme="majorBidi" w:cstheme="majorBidi"/>
          <w:noProof/>
          <w:sz w:val="22"/>
          <w:szCs w:val="22"/>
        </w:rPr>
        <w:t>[25], [26]</w:t>
      </w:r>
      <w:r w:rsidR="00E72053">
        <w:rPr>
          <w:rFonts w:asciiTheme="majorBidi" w:hAnsiTheme="majorBidi" w:cstheme="majorBidi"/>
          <w:sz w:val="22"/>
          <w:szCs w:val="22"/>
        </w:rPr>
        <w:fldChar w:fldCharType="end"/>
      </w:r>
      <w:r w:rsidRPr="00033CD7">
        <w:rPr>
          <w:rFonts w:asciiTheme="majorBidi" w:hAnsiTheme="majorBidi" w:cstheme="majorBidi"/>
          <w:sz w:val="22"/>
          <w:szCs w:val="22"/>
        </w:rPr>
        <w:t xml:space="preserve">. Penggunaan FMEA pada penelitian ini diarahkan untuk membaca hubungan antara kegagalan instrumentasi, kontrol tekanan, </w:t>
      </w:r>
      <w:r w:rsidRPr="00033CD7">
        <w:rPr>
          <w:rFonts w:asciiTheme="majorBidi" w:hAnsiTheme="majorBidi" w:cstheme="majorBidi"/>
          <w:i/>
          <w:iCs/>
          <w:sz w:val="22"/>
          <w:szCs w:val="22"/>
        </w:rPr>
        <w:t>pressure protection system</w:t>
      </w:r>
      <w:r w:rsidRPr="00033CD7">
        <w:rPr>
          <w:rFonts w:asciiTheme="majorBidi" w:hAnsiTheme="majorBidi" w:cstheme="majorBidi"/>
          <w:sz w:val="22"/>
          <w:szCs w:val="22"/>
        </w:rPr>
        <w:t xml:space="preserve">, dan human factor terhadap pembentukan kondisi </w:t>
      </w:r>
      <w:r w:rsidRPr="00033CD7">
        <w:rPr>
          <w:rFonts w:asciiTheme="majorBidi" w:hAnsiTheme="majorBidi" w:cstheme="majorBidi"/>
          <w:i/>
          <w:iCs/>
          <w:sz w:val="22"/>
          <w:szCs w:val="22"/>
        </w:rPr>
        <w:t>overpressure</w:t>
      </w:r>
      <w:r w:rsidRPr="00033CD7">
        <w:rPr>
          <w:rFonts w:asciiTheme="majorBidi" w:hAnsiTheme="majorBidi" w:cstheme="majorBidi"/>
          <w:sz w:val="22"/>
          <w:szCs w:val="22"/>
        </w:rPr>
        <w:t xml:space="preserve"> pada PRU.</w:t>
      </w:r>
    </w:p>
    <w:p w14:paraId="10B64066" w14:textId="6FDD1C01" w:rsidR="00467989" w:rsidRPr="00033CD7" w:rsidRDefault="00467989" w:rsidP="00467989">
      <w:pPr>
        <w:pStyle w:val="NormalWeb"/>
        <w:spacing w:before="0" w:beforeAutospacing="0" w:after="0" w:afterAutospacing="0"/>
        <w:ind w:firstLine="720"/>
        <w:jc w:val="both"/>
        <w:rPr>
          <w:rFonts w:asciiTheme="majorBidi" w:hAnsiTheme="majorBidi" w:cstheme="majorBidi"/>
          <w:sz w:val="22"/>
          <w:szCs w:val="22"/>
        </w:rPr>
      </w:pPr>
      <w:r w:rsidRPr="00033CD7">
        <w:rPr>
          <w:rFonts w:asciiTheme="majorBidi" w:hAnsiTheme="majorBidi" w:cstheme="majorBidi"/>
          <w:sz w:val="22"/>
          <w:szCs w:val="22"/>
        </w:rPr>
        <w:t xml:space="preserve">Objek penelitian difokuskan pada subsistem PRU yang berkaitan langsung dengan kestabilan tekanan proses dan fungsi </w:t>
      </w:r>
      <w:r w:rsidRPr="00033CD7">
        <w:rPr>
          <w:rFonts w:asciiTheme="majorBidi" w:hAnsiTheme="majorBidi" w:cstheme="majorBidi"/>
          <w:i/>
          <w:iCs/>
          <w:sz w:val="22"/>
          <w:szCs w:val="22"/>
        </w:rPr>
        <w:t>pressure containment</w:t>
      </w:r>
      <w:r w:rsidRPr="00033CD7">
        <w:rPr>
          <w:rFonts w:asciiTheme="majorBidi" w:hAnsiTheme="majorBidi" w:cstheme="majorBidi"/>
          <w:sz w:val="22"/>
          <w:szCs w:val="22"/>
        </w:rPr>
        <w:t xml:space="preserve">, yaitu kolom distilasi, </w:t>
      </w:r>
      <w:r w:rsidRPr="00033CD7">
        <w:rPr>
          <w:rFonts w:asciiTheme="majorBidi" w:hAnsiTheme="majorBidi" w:cstheme="majorBidi"/>
          <w:i/>
          <w:iCs/>
          <w:sz w:val="22"/>
          <w:szCs w:val="22"/>
        </w:rPr>
        <w:t>pressure</w:t>
      </w:r>
      <w:r w:rsidRPr="00033CD7">
        <w:rPr>
          <w:rFonts w:asciiTheme="majorBidi" w:hAnsiTheme="majorBidi" w:cstheme="majorBidi"/>
          <w:sz w:val="22"/>
          <w:szCs w:val="22"/>
        </w:rPr>
        <w:t xml:space="preserve"> transmitter,</w:t>
      </w:r>
      <w:r w:rsidRPr="00033CD7">
        <w:rPr>
          <w:rFonts w:asciiTheme="majorBidi" w:hAnsiTheme="majorBidi" w:cstheme="majorBidi"/>
          <w:i/>
          <w:iCs/>
          <w:sz w:val="22"/>
          <w:szCs w:val="22"/>
        </w:rPr>
        <w:t xml:space="preserve"> control valve</w:t>
      </w:r>
      <w:r w:rsidRPr="00033CD7">
        <w:rPr>
          <w:rFonts w:asciiTheme="majorBidi" w:hAnsiTheme="majorBidi" w:cstheme="majorBidi"/>
          <w:sz w:val="22"/>
          <w:szCs w:val="22"/>
        </w:rPr>
        <w:t xml:space="preserve">, </w:t>
      </w:r>
      <w:r w:rsidRPr="00033CD7">
        <w:rPr>
          <w:rFonts w:asciiTheme="majorBidi" w:hAnsiTheme="majorBidi" w:cstheme="majorBidi"/>
          <w:i/>
          <w:iCs/>
          <w:sz w:val="22"/>
          <w:szCs w:val="22"/>
        </w:rPr>
        <w:t>pressure relief</w:t>
      </w:r>
      <w:r w:rsidRPr="00033CD7">
        <w:rPr>
          <w:rFonts w:asciiTheme="majorBidi" w:hAnsiTheme="majorBidi" w:cstheme="majorBidi"/>
          <w:sz w:val="22"/>
          <w:szCs w:val="22"/>
        </w:rPr>
        <w:t xml:space="preserve"> </w:t>
      </w:r>
      <w:r w:rsidRPr="00033CD7">
        <w:rPr>
          <w:rFonts w:asciiTheme="majorBidi" w:hAnsiTheme="majorBidi" w:cstheme="majorBidi"/>
          <w:i/>
          <w:iCs/>
          <w:sz w:val="22"/>
          <w:szCs w:val="22"/>
        </w:rPr>
        <w:t>valve/pressure safety valve</w:t>
      </w:r>
      <w:r w:rsidRPr="00033CD7">
        <w:rPr>
          <w:rFonts w:asciiTheme="majorBidi" w:hAnsiTheme="majorBidi" w:cstheme="majorBidi"/>
          <w:sz w:val="22"/>
          <w:szCs w:val="22"/>
        </w:rPr>
        <w:t xml:space="preserve"> (PRV/PSV), </w:t>
      </w:r>
      <w:r w:rsidRPr="00033CD7">
        <w:rPr>
          <w:rFonts w:asciiTheme="majorBidi" w:hAnsiTheme="majorBidi" w:cstheme="majorBidi"/>
          <w:i/>
          <w:sz w:val="22"/>
          <w:szCs w:val="22"/>
        </w:rPr>
        <w:t>heat exchanger</w:t>
      </w:r>
      <w:r w:rsidRPr="00033CD7">
        <w:rPr>
          <w:rFonts w:asciiTheme="majorBidi" w:hAnsiTheme="majorBidi" w:cstheme="majorBidi"/>
          <w:sz w:val="22"/>
          <w:szCs w:val="22"/>
        </w:rPr>
        <w:t xml:space="preserve">, pipa bertekanan, </w:t>
      </w:r>
      <w:r w:rsidRPr="00033CD7">
        <w:rPr>
          <w:rFonts w:asciiTheme="majorBidi" w:hAnsiTheme="majorBidi" w:cstheme="majorBidi"/>
          <w:i/>
          <w:iCs/>
          <w:sz w:val="22"/>
          <w:szCs w:val="22"/>
        </w:rPr>
        <w:t>High Integrity Pressure Protection System</w:t>
      </w:r>
      <w:r w:rsidRPr="00033CD7">
        <w:rPr>
          <w:rFonts w:asciiTheme="majorBidi" w:hAnsiTheme="majorBidi" w:cstheme="majorBidi"/>
          <w:sz w:val="22"/>
          <w:szCs w:val="22"/>
        </w:rPr>
        <w:t xml:space="preserve"> (HIPPS), dan operator proses. Pemilihan objek dilakukan secara </w:t>
      </w:r>
      <w:r w:rsidRPr="00033CD7">
        <w:rPr>
          <w:rFonts w:asciiTheme="majorBidi" w:hAnsiTheme="majorBidi" w:cstheme="majorBidi"/>
          <w:i/>
          <w:iCs/>
          <w:sz w:val="22"/>
          <w:szCs w:val="22"/>
        </w:rPr>
        <w:t>purposive</w:t>
      </w:r>
      <w:r w:rsidRPr="00033CD7">
        <w:rPr>
          <w:rFonts w:asciiTheme="majorBidi" w:hAnsiTheme="majorBidi" w:cstheme="majorBidi"/>
          <w:sz w:val="22"/>
          <w:szCs w:val="22"/>
        </w:rPr>
        <w:t xml:space="preserve"> karena komponen tersebut memiliki hubungan langsung dengan pengendalian tekanan, pelepasan tekanan lebih, perpindahan panas, stabilitas aliran, serta respon operasi ketika terjadi abnormal </w:t>
      </w:r>
      <w:r w:rsidRPr="00033CD7">
        <w:rPr>
          <w:rFonts w:asciiTheme="majorBidi" w:hAnsiTheme="majorBidi" w:cstheme="majorBidi"/>
          <w:i/>
          <w:iCs/>
          <w:sz w:val="22"/>
          <w:szCs w:val="22"/>
        </w:rPr>
        <w:t>condition</w:t>
      </w:r>
      <w:r w:rsidRPr="00033CD7">
        <w:rPr>
          <w:rFonts w:asciiTheme="majorBidi" w:hAnsiTheme="majorBidi" w:cstheme="majorBidi"/>
          <w:sz w:val="22"/>
          <w:szCs w:val="22"/>
        </w:rPr>
        <w:t xml:space="preserve">. Pada sistem hidrokarbon bertekanan, kegagalan komponen-komponen tersebut dapat menyebabkan </w:t>
      </w:r>
      <w:r w:rsidRPr="00033CD7">
        <w:rPr>
          <w:rFonts w:asciiTheme="majorBidi" w:hAnsiTheme="majorBidi" w:cstheme="majorBidi"/>
          <w:i/>
          <w:iCs/>
          <w:sz w:val="22"/>
          <w:szCs w:val="22"/>
        </w:rPr>
        <w:t>pressure excursion</w:t>
      </w:r>
      <w:r w:rsidRPr="00033CD7">
        <w:rPr>
          <w:rFonts w:asciiTheme="majorBidi" w:hAnsiTheme="majorBidi" w:cstheme="majorBidi"/>
          <w:sz w:val="22"/>
          <w:szCs w:val="22"/>
        </w:rPr>
        <w:t xml:space="preserve">, </w:t>
      </w:r>
      <w:r w:rsidRPr="00033CD7">
        <w:rPr>
          <w:rFonts w:asciiTheme="majorBidi" w:hAnsiTheme="majorBidi" w:cstheme="majorBidi"/>
          <w:i/>
          <w:iCs/>
          <w:sz w:val="22"/>
          <w:szCs w:val="22"/>
        </w:rPr>
        <w:t>loss of containment</w:t>
      </w:r>
      <w:r w:rsidRPr="00033CD7">
        <w:rPr>
          <w:rFonts w:asciiTheme="majorBidi" w:hAnsiTheme="majorBidi" w:cstheme="majorBidi"/>
          <w:sz w:val="22"/>
          <w:szCs w:val="22"/>
        </w:rPr>
        <w:t xml:space="preserve">, dan pelemahan </w:t>
      </w:r>
      <w:r w:rsidRPr="00033CD7">
        <w:rPr>
          <w:rFonts w:asciiTheme="majorBidi" w:hAnsiTheme="majorBidi" w:cstheme="majorBidi"/>
          <w:i/>
          <w:iCs/>
          <w:sz w:val="22"/>
          <w:szCs w:val="22"/>
        </w:rPr>
        <w:t>safety barrier</w:t>
      </w:r>
      <w:r w:rsidRPr="00033CD7">
        <w:rPr>
          <w:rFonts w:asciiTheme="majorBidi" w:hAnsiTheme="majorBidi" w:cstheme="majorBidi"/>
          <w:sz w:val="22"/>
          <w:szCs w:val="22"/>
        </w:rPr>
        <w:t xml:space="preserve"> </w:t>
      </w:r>
      <w:r w:rsidR="00E72053">
        <w:rPr>
          <w:rFonts w:asciiTheme="majorBidi" w:hAnsiTheme="majorBidi" w:cstheme="majorBidi"/>
          <w:sz w:val="22"/>
          <w:szCs w:val="22"/>
        </w:rPr>
        <w:fldChar w:fldCharType="begin" w:fldLock="1"/>
      </w:r>
      <w:r w:rsidR="00E72053">
        <w:rPr>
          <w:rFonts w:asciiTheme="majorBidi" w:hAnsiTheme="majorBidi" w:cstheme="majorBidi"/>
          <w:sz w:val="22"/>
          <w:szCs w:val="22"/>
        </w:rPr>
        <w:instrText>ADDIN CSL_CITATION {"citationItems":[{"id":"ITEM-1","itemData":{"DOI":"10.1016/j.jlp.2021.104599","author":[{"dropping-particle":"","family":"Sun","given":"H","non-dropping-particle":"","parse-names":false,"suffix":""},{"dropping-particle":"","family":"Wang","given":"H","non-dropping-particle":"","parse-names":false,"suffix":""},{"dropping-particle":"","family":"Yang","given":"M","non-dropping-particle":"","parse-names":false,"suffix":""},{"dropping-particle":"","family":"Reniers","given":"Genserik","non-dropping-particle":"","parse-names":false,"suffix":""}],"container-title":"Journal of Loss Prevention in the Process Industries","id":"ITEM-1","issued":{"date-parts":[["2021"]]},"page":"104599","title":"Resilience-Based Approach to Safety Barrier Performance Assessment in Process Facilities","type":"article-journal","volume":"73"},"uris":["http://www.mendeley.com/documents/?uuid=69eb6f52-0a6e-4a33-a53f-6d9af7ef32a6"]},{"id":"ITEM-2","itemData":{"abstract":"Objectives Patient safety events offer opportunities to improve patient care, but, unfortunately, events often go unreported. Although some barriers to event reporting can be …","author":[{"dropping-particle":"","family":"Burlison","given":"J D","non-dropping-particle":"","parse-names":false,"suffix":""},{"dropping-particle":"","family":"Quillivan","given":"R R","non-dropping-particle":"","parse-names":false,"suffix":""},{"dropping-particle":"","family":"Kath","given":"L M","non-dropping-particle":"","parse-names":false,"suffix":""},{"dropping-particle":"","family":"Zhou","given":"Y","non-dropping-particle":"","parse-names":false,"suffix":""},{"dropping-particle":"","family":"...","given":"","non-dropping-particle":"","parse-names":false,"suffix":""}],"container-title":"Journal of patient …","id":"ITEM-2","issued":{"date-parts":[["2020"]]},"note":"Cited By (since 2020): 58","publisher":"ncbi.nlm.nih.gov","title":"A multilevel analysis of US hospital patient safety culture relationships with perceptions of voluntary event reporting","type":"article"},"uris":["http://www.mendeley.com/documents/?uuid=73064443-65a5-4680-bfaa-342cabea0050"]}],"mendeley":{"formattedCitation":"[27], [28]","plainTextFormattedCitation":"[27], [28]","previouslyFormattedCitation":"[27], [28]"},"properties":{"noteIndex":0},"schema":"https://github.com/citation-style-language/schema/raw/master/csl-citation.json"}</w:instrText>
      </w:r>
      <w:r w:rsidR="00E72053">
        <w:rPr>
          <w:rFonts w:asciiTheme="majorBidi" w:hAnsiTheme="majorBidi" w:cstheme="majorBidi"/>
          <w:sz w:val="22"/>
          <w:szCs w:val="22"/>
        </w:rPr>
        <w:fldChar w:fldCharType="separate"/>
      </w:r>
      <w:r w:rsidR="00E72053" w:rsidRPr="00E72053">
        <w:rPr>
          <w:rFonts w:asciiTheme="majorBidi" w:hAnsiTheme="majorBidi" w:cstheme="majorBidi"/>
          <w:noProof/>
          <w:sz w:val="22"/>
          <w:szCs w:val="22"/>
        </w:rPr>
        <w:t>[27], [28]</w:t>
      </w:r>
      <w:r w:rsidR="00E72053">
        <w:rPr>
          <w:rFonts w:asciiTheme="majorBidi" w:hAnsiTheme="majorBidi" w:cstheme="majorBidi"/>
          <w:sz w:val="22"/>
          <w:szCs w:val="22"/>
        </w:rPr>
        <w:fldChar w:fldCharType="end"/>
      </w:r>
      <w:r w:rsidRPr="00033CD7">
        <w:rPr>
          <w:rFonts w:asciiTheme="majorBidi" w:hAnsiTheme="majorBidi" w:cstheme="majorBidi"/>
          <w:sz w:val="22"/>
          <w:szCs w:val="22"/>
        </w:rPr>
        <w:t>.</w:t>
      </w:r>
    </w:p>
    <w:p w14:paraId="3AD131E4" w14:textId="494A6F53" w:rsidR="00467989" w:rsidRPr="00033CD7" w:rsidRDefault="00467989" w:rsidP="00467989">
      <w:pPr>
        <w:pStyle w:val="NormalWeb"/>
        <w:spacing w:before="0" w:beforeAutospacing="0" w:after="0" w:afterAutospacing="0"/>
        <w:jc w:val="both"/>
        <w:rPr>
          <w:rFonts w:asciiTheme="majorBidi" w:hAnsiTheme="majorBidi" w:cstheme="majorBidi"/>
          <w:sz w:val="22"/>
          <w:szCs w:val="22"/>
        </w:rPr>
      </w:pPr>
      <w:r w:rsidRPr="00033CD7">
        <w:rPr>
          <w:rFonts w:asciiTheme="majorBidi" w:hAnsiTheme="majorBidi" w:cstheme="majorBidi"/>
          <w:sz w:val="22"/>
          <w:szCs w:val="22"/>
        </w:rPr>
        <w:t xml:space="preserve">Data penelitian terdiri atas data primer dan data sekunder. Data primer diperoleh melalui observasi proses, identifikasi kondisi operasi, serta diskusi teknis dengan operator, teknisi, dan </w:t>
      </w:r>
      <w:r w:rsidRPr="00033CD7">
        <w:rPr>
          <w:rFonts w:asciiTheme="majorBidi" w:hAnsiTheme="majorBidi" w:cstheme="majorBidi"/>
          <w:i/>
          <w:iCs/>
          <w:sz w:val="22"/>
          <w:szCs w:val="22"/>
        </w:rPr>
        <w:t>personel maintenance</w:t>
      </w:r>
      <w:r w:rsidRPr="00033CD7">
        <w:rPr>
          <w:rFonts w:asciiTheme="majorBidi" w:hAnsiTheme="majorBidi" w:cstheme="majorBidi"/>
          <w:sz w:val="22"/>
          <w:szCs w:val="22"/>
        </w:rPr>
        <w:t xml:space="preserve">. Data sekunder meliputi histori gangguan operasi, dokumen teknis, catatan inspeksi, parameter operasi, dan referensi keselamatan proses. Kombinasi observasi lapangan dan histori operasi diperlukan karena beberapa mode kegagalan pada sistem tekanan tinggi tidak selalu tampak secara visual dan sering ditunjukkan melalui deviasi tekanan, perubahan aliran, alarm proses, keterlambatan respon kontrol, atau penurunan performa instrumentasi </w:t>
      </w:r>
      <w:r w:rsidR="00E72053">
        <w:rPr>
          <w:rFonts w:asciiTheme="majorBidi" w:hAnsiTheme="majorBidi" w:cstheme="majorBidi"/>
          <w:sz w:val="22"/>
          <w:szCs w:val="22"/>
        </w:rPr>
        <w:fldChar w:fldCharType="begin" w:fldLock="1"/>
      </w:r>
      <w:r w:rsidR="00E72053">
        <w:rPr>
          <w:rFonts w:asciiTheme="majorBidi" w:hAnsiTheme="majorBidi" w:cstheme="majorBidi"/>
          <w:sz w:val="22"/>
          <w:szCs w:val="22"/>
        </w:rPr>
        <w:instrText>ADDIN CSL_CITATION {"citationItems":[{"id":"ITEM-1","itemData":{"DOI":"10.1016/j.flowmeasinst.2022.102303","author":[{"dropping-particle":"","family":"Shi","given":"M","non-dropping-particle":"","parse-names":false,"suffix":""},{"dropping-particle":"","family":"Cao","given":"Z","non-dropping-particle":"","parse-names":false,"suffix":""},{"dropping-particle":"","family":"Ye","given":"T","non-dropping-particle":"","parse-names":false,"suffix":""}],"container-title":"Flow Measurement and Instrumentation","id":"ITEM-1","issued":{"date-parts":[["2023"]]},"page":"102303","title":"Internal Leakage Rate Prediction and Failure Diagnosis of Buried Pipeline Ball Valve Based on Valve Cavity Pressure Detection","type":"article-journal","volume":"89"},"uris":["http://www.mendeley.com/documents/?uuid=d7324254-d601-4382-869f-ef31005455d8"]},{"id":"ITEM-2","itemData":{"DOI":"10.1049/smt2.12049","author":[{"dropping-particle":"","family":"Ye","given":"G","non-dropping-particle":"","parse-names":false,"suffix":""},{"dropping-particle":"","family":"Xu","given":"K","non-dropping-particle":"","parse-names":false,"suffix":""},{"dropping-particle":"","family":"Wu","given":"W","non-dropping-particle":"","parse-names":false,"suffix":""}],"container-title":"IET Science, Measurement and Technology","id":"ITEM-2","issue":"6","issued":{"date-parts":[["2021"]]},"page":"487-498","title":"Mixed Multiple-Variable Modelling of Acoustic Emission Signals for Valve Internal Leakage Detection","type":"article-journal","volume":"15"},"uris":["http://www.mendeley.com/documents/?uuid=dabea9c3-e722-4fd4-9f58-dcc498679860"]}],"mendeley":{"formattedCitation":"[13], [29]","plainTextFormattedCitation":"[13], [29]","previouslyFormattedCitation":"[13], [29]"},"properties":{"noteIndex":0},"schema":"https://github.com/citation-style-language/schema/raw/master/csl-citation.json"}</w:instrText>
      </w:r>
      <w:r w:rsidR="00E72053">
        <w:rPr>
          <w:rFonts w:asciiTheme="majorBidi" w:hAnsiTheme="majorBidi" w:cstheme="majorBidi"/>
          <w:sz w:val="22"/>
          <w:szCs w:val="22"/>
        </w:rPr>
        <w:fldChar w:fldCharType="separate"/>
      </w:r>
      <w:r w:rsidR="00E72053" w:rsidRPr="00E72053">
        <w:rPr>
          <w:rFonts w:asciiTheme="majorBidi" w:hAnsiTheme="majorBidi" w:cstheme="majorBidi"/>
          <w:noProof/>
          <w:sz w:val="22"/>
          <w:szCs w:val="22"/>
        </w:rPr>
        <w:t>[13], [29]</w:t>
      </w:r>
      <w:r w:rsidR="00E72053">
        <w:rPr>
          <w:rFonts w:asciiTheme="majorBidi" w:hAnsiTheme="majorBidi" w:cstheme="majorBidi"/>
          <w:sz w:val="22"/>
          <w:szCs w:val="22"/>
        </w:rPr>
        <w:fldChar w:fldCharType="end"/>
      </w:r>
      <w:r w:rsidRPr="00033CD7">
        <w:rPr>
          <w:rFonts w:asciiTheme="majorBidi" w:hAnsiTheme="majorBidi" w:cstheme="majorBidi"/>
          <w:sz w:val="22"/>
          <w:szCs w:val="22"/>
        </w:rPr>
        <w:t xml:space="preserve">. Penggunaan histori gangguan dan data operasi juga penting untuk mengurangi subjektivitas dalam penilaian </w:t>
      </w:r>
      <w:r w:rsidRPr="00033CD7">
        <w:rPr>
          <w:rFonts w:asciiTheme="majorBidi" w:hAnsiTheme="majorBidi" w:cstheme="majorBidi"/>
          <w:i/>
          <w:iCs/>
          <w:sz w:val="22"/>
          <w:szCs w:val="22"/>
        </w:rPr>
        <w:t xml:space="preserve">occurrence </w:t>
      </w:r>
      <w:r w:rsidRPr="00033CD7">
        <w:rPr>
          <w:rFonts w:asciiTheme="majorBidi" w:hAnsiTheme="majorBidi" w:cstheme="majorBidi"/>
          <w:sz w:val="22"/>
          <w:szCs w:val="22"/>
        </w:rPr>
        <w:t xml:space="preserve">dan </w:t>
      </w:r>
      <w:r w:rsidRPr="00033CD7">
        <w:rPr>
          <w:rFonts w:asciiTheme="majorBidi" w:hAnsiTheme="majorBidi" w:cstheme="majorBidi"/>
          <w:i/>
          <w:iCs/>
          <w:sz w:val="22"/>
          <w:szCs w:val="22"/>
        </w:rPr>
        <w:t>detection</w:t>
      </w:r>
      <w:r w:rsidRPr="00033CD7">
        <w:rPr>
          <w:rFonts w:asciiTheme="majorBidi" w:hAnsiTheme="majorBidi" w:cstheme="majorBidi"/>
          <w:sz w:val="22"/>
          <w:szCs w:val="22"/>
        </w:rPr>
        <w:t xml:space="preserve"> pada FMEA </w:t>
      </w:r>
      <w:r w:rsidR="00E72053">
        <w:rPr>
          <w:rFonts w:asciiTheme="majorBidi" w:hAnsiTheme="majorBidi" w:cstheme="majorBidi"/>
          <w:sz w:val="22"/>
          <w:szCs w:val="22"/>
        </w:rPr>
        <w:fldChar w:fldCharType="begin" w:fldLock="1"/>
      </w:r>
      <w:r w:rsidR="007A70A4">
        <w:rPr>
          <w:rFonts w:asciiTheme="majorBidi" w:hAnsiTheme="majorBidi" w:cstheme="majorBidi"/>
          <w:sz w:val="22"/>
          <w:szCs w:val="22"/>
        </w:rPr>
        <w:instrText>ADDIN CSL_CITATION {"citationItems":[{"id":"ITEM-1","itemData":{"DOI":"10.1016/j.jlp.2021.104616","author":[{"dropping-particle":"","family":"Hassan","given":"S","non-dropping-particle":"","parse-names":false,"suffix":""},{"dropping-particle":"","family":"Wang","given":"J","non-dropping-particle":"","parse-names":false,"suffix":""},{"dropping-particle":"","family":"Kontovas","given":"C","non-dropping-particle":"","parse-names":false,"suffix":""},{"dropping-particle":"","family":"Bashir","given":"M","non-dropping-particle":"","parse-names":false,"suffix":""}],"container-title":"Journal of Loss Prevention in the Process Industries","id":"ITEM-1","issued":{"date-parts":[["2022"]]},"page":"104616","title":"Modified FMEA Hazard Identification for Cross-Country Petroleum Pipeline Using Fuzzy Rule Base and Approximate Reasoning","type":"article-journal","volume":"74"},"uris":["http://www.mendeley.com/documents/?uuid=dffcc72e-2efe-44e1-8b3d-bfc7eec60819"]},{"id":"ITEM-2","itemData":{"author":[{"dropping-particle":"","family":"Indonesia.Badan Standardisasi Nasional","given":"","non-dropping-particle":"","parse-names":false,"suffix":""}],"id":"ITEM-2","issued":{"date-parts":[["2023"]]},"publisher-place":"Indonesia","title":"Peraturan Badan Standardisasi Nasional Nomor 4 Tahun 2023 tentang Perubahan Kedua Atas Peraturan Badan Standardisasi Nasional Nomor 4 Tahun 2021 tentang Skema Penilaian Kesesuaian terhadap Standar Nasional Indonesia Sektor Pertanian, Perkebunan, Peternaka","type":"legislation"},"uris":["http://www.mendeley.com/documents/?uuid=cf048f1e-159e-4ca9-bb42-d0ecc0b31a1a"]}],"mendeley":{"formattedCitation":"[15], [30]","plainTextFormattedCitation":"[15], [30]","previouslyFormattedCitation":"[15], [30]"},"properties":{"noteIndex":0},"schema":"https://github.com/citation-style-language/schema/raw/master/csl-citation.json"}</w:instrText>
      </w:r>
      <w:r w:rsidR="00E72053">
        <w:rPr>
          <w:rFonts w:asciiTheme="majorBidi" w:hAnsiTheme="majorBidi" w:cstheme="majorBidi"/>
          <w:sz w:val="22"/>
          <w:szCs w:val="22"/>
        </w:rPr>
        <w:fldChar w:fldCharType="separate"/>
      </w:r>
      <w:r w:rsidR="00E72053" w:rsidRPr="00E72053">
        <w:rPr>
          <w:rFonts w:asciiTheme="majorBidi" w:hAnsiTheme="majorBidi" w:cstheme="majorBidi"/>
          <w:noProof/>
          <w:sz w:val="22"/>
          <w:szCs w:val="22"/>
        </w:rPr>
        <w:t>[15], [30]</w:t>
      </w:r>
      <w:r w:rsidR="00E72053">
        <w:rPr>
          <w:rFonts w:asciiTheme="majorBidi" w:hAnsiTheme="majorBidi" w:cstheme="majorBidi"/>
          <w:sz w:val="22"/>
          <w:szCs w:val="22"/>
        </w:rPr>
        <w:fldChar w:fldCharType="end"/>
      </w:r>
      <w:r w:rsidRPr="00033CD7">
        <w:rPr>
          <w:rFonts w:asciiTheme="majorBidi" w:hAnsiTheme="majorBidi" w:cstheme="majorBidi"/>
          <w:sz w:val="22"/>
          <w:szCs w:val="22"/>
        </w:rPr>
        <w:t>.</w:t>
      </w:r>
    </w:p>
    <w:p w14:paraId="0673D172" w14:textId="57DAB8FA" w:rsidR="00467989" w:rsidRPr="00033CD7" w:rsidRDefault="00467989" w:rsidP="00467989">
      <w:pPr>
        <w:pStyle w:val="NormalWeb"/>
        <w:spacing w:before="0" w:beforeAutospacing="0" w:after="0" w:afterAutospacing="0"/>
        <w:ind w:firstLine="720"/>
        <w:jc w:val="both"/>
        <w:rPr>
          <w:rFonts w:asciiTheme="majorBidi" w:hAnsiTheme="majorBidi" w:cstheme="majorBidi"/>
          <w:sz w:val="22"/>
          <w:szCs w:val="22"/>
        </w:rPr>
      </w:pPr>
      <w:r w:rsidRPr="00033CD7">
        <w:rPr>
          <w:rFonts w:asciiTheme="majorBidi" w:hAnsiTheme="majorBidi" w:cstheme="majorBidi"/>
          <w:sz w:val="22"/>
          <w:szCs w:val="22"/>
        </w:rPr>
        <w:t xml:space="preserve">Variabel penelitian terdiri atas variabel penyebab, variabel penilaian risiko, dan variabel keluaran. Variabel penyebab mencakup kegagalan instrumentasi, </w:t>
      </w:r>
      <w:r w:rsidRPr="00033CD7">
        <w:rPr>
          <w:rFonts w:asciiTheme="majorBidi" w:hAnsiTheme="majorBidi" w:cstheme="majorBidi"/>
          <w:i/>
          <w:iCs/>
          <w:sz w:val="22"/>
          <w:szCs w:val="22"/>
        </w:rPr>
        <w:t>valve stuck</w:t>
      </w:r>
      <w:r w:rsidRPr="00033CD7">
        <w:rPr>
          <w:rFonts w:asciiTheme="majorBidi" w:hAnsiTheme="majorBidi" w:cstheme="majorBidi"/>
          <w:sz w:val="22"/>
          <w:szCs w:val="22"/>
        </w:rPr>
        <w:t xml:space="preserve">, </w:t>
      </w:r>
      <w:r w:rsidRPr="00033CD7">
        <w:rPr>
          <w:rFonts w:asciiTheme="majorBidi" w:hAnsiTheme="majorBidi" w:cstheme="majorBidi"/>
          <w:i/>
          <w:iCs/>
          <w:sz w:val="22"/>
          <w:szCs w:val="22"/>
        </w:rPr>
        <w:t>fouling heat exchanger</w:t>
      </w:r>
      <w:r w:rsidRPr="00033CD7">
        <w:rPr>
          <w:rFonts w:asciiTheme="majorBidi" w:hAnsiTheme="majorBidi" w:cstheme="majorBidi"/>
          <w:sz w:val="22"/>
          <w:szCs w:val="22"/>
        </w:rPr>
        <w:t xml:space="preserve">, kebocoran pipa, kegagalan sistem proteksi tekanan, dan </w:t>
      </w:r>
      <w:r w:rsidRPr="00033CD7">
        <w:rPr>
          <w:rFonts w:asciiTheme="majorBidi" w:hAnsiTheme="majorBidi" w:cstheme="majorBidi"/>
          <w:i/>
          <w:iCs/>
          <w:sz w:val="22"/>
          <w:szCs w:val="22"/>
        </w:rPr>
        <w:t>human error</w:t>
      </w:r>
      <w:r w:rsidRPr="00033CD7">
        <w:rPr>
          <w:rFonts w:asciiTheme="majorBidi" w:hAnsiTheme="majorBidi" w:cstheme="majorBidi"/>
          <w:sz w:val="22"/>
          <w:szCs w:val="22"/>
        </w:rPr>
        <w:t xml:space="preserve"> operasi. Variabel penilaian risiko terdiri atas </w:t>
      </w:r>
      <w:r w:rsidRPr="00033CD7">
        <w:rPr>
          <w:rFonts w:asciiTheme="majorBidi" w:hAnsiTheme="majorBidi" w:cstheme="majorBidi"/>
          <w:i/>
          <w:iCs/>
          <w:sz w:val="22"/>
          <w:szCs w:val="22"/>
        </w:rPr>
        <w:t>severity</w:t>
      </w:r>
      <w:r w:rsidRPr="00033CD7">
        <w:rPr>
          <w:rFonts w:asciiTheme="majorBidi" w:hAnsiTheme="majorBidi" w:cstheme="majorBidi"/>
          <w:sz w:val="22"/>
          <w:szCs w:val="22"/>
        </w:rPr>
        <w:t xml:space="preserve">, </w:t>
      </w:r>
      <w:r w:rsidRPr="00033CD7">
        <w:rPr>
          <w:rFonts w:asciiTheme="majorBidi" w:hAnsiTheme="majorBidi" w:cstheme="majorBidi"/>
          <w:i/>
          <w:iCs/>
          <w:sz w:val="22"/>
          <w:szCs w:val="22"/>
        </w:rPr>
        <w:t>occurrence</w:t>
      </w:r>
      <w:r w:rsidRPr="00033CD7">
        <w:rPr>
          <w:rFonts w:asciiTheme="majorBidi" w:hAnsiTheme="majorBidi" w:cstheme="majorBidi"/>
          <w:sz w:val="22"/>
          <w:szCs w:val="22"/>
        </w:rPr>
        <w:t xml:space="preserve">, dan </w:t>
      </w:r>
      <w:r w:rsidRPr="00033CD7">
        <w:rPr>
          <w:rFonts w:asciiTheme="majorBidi" w:hAnsiTheme="majorBidi" w:cstheme="majorBidi"/>
          <w:i/>
          <w:iCs/>
          <w:sz w:val="22"/>
          <w:szCs w:val="22"/>
        </w:rPr>
        <w:t>detection</w:t>
      </w:r>
      <w:r w:rsidRPr="00033CD7">
        <w:rPr>
          <w:rFonts w:asciiTheme="majorBidi" w:hAnsiTheme="majorBidi" w:cstheme="majorBidi"/>
          <w:sz w:val="22"/>
          <w:szCs w:val="22"/>
        </w:rPr>
        <w:t xml:space="preserve">. </w:t>
      </w:r>
      <w:r w:rsidRPr="00033CD7">
        <w:rPr>
          <w:rFonts w:asciiTheme="majorBidi" w:hAnsiTheme="majorBidi" w:cstheme="majorBidi"/>
          <w:i/>
          <w:iCs/>
          <w:sz w:val="22"/>
          <w:szCs w:val="22"/>
        </w:rPr>
        <w:t>Severity</w:t>
      </w:r>
      <w:r w:rsidRPr="00033CD7">
        <w:rPr>
          <w:rFonts w:asciiTheme="majorBidi" w:hAnsiTheme="majorBidi" w:cstheme="majorBidi"/>
          <w:sz w:val="22"/>
          <w:szCs w:val="22"/>
        </w:rPr>
        <w:t xml:space="preserve"> menunjukkan tingkat dampak kegagalan terhadap keselamatan proses, kerusakan peralatan, kestabilan operasi, dan kehilangan produk. </w:t>
      </w:r>
      <w:r w:rsidRPr="00033CD7">
        <w:rPr>
          <w:rFonts w:asciiTheme="majorBidi" w:hAnsiTheme="majorBidi" w:cstheme="majorBidi"/>
          <w:i/>
          <w:iCs/>
          <w:sz w:val="22"/>
          <w:szCs w:val="22"/>
        </w:rPr>
        <w:t>Occurrence</w:t>
      </w:r>
      <w:r w:rsidRPr="00033CD7">
        <w:rPr>
          <w:rFonts w:asciiTheme="majorBidi" w:hAnsiTheme="majorBidi" w:cstheme="majorBidi"/>
          <w:sz w:val="22"/>
          <w:szCs w:val="22"/>
        </w:rPr>
        <w:t xml:space="preserve"> menunjukkan peluang atau kecenderungan kegagalan muncul berdasarkan kondisi operasi dan histori gangguan. </w:t>
      </w:r>
      <w:r w:rsidRPr="00033CD7">
        <w:rPr>
          <w:rFonts w:asciiTheme="majorBidi" w:hAnsiTheme="majorBidi" w:cstheme="majorBidi"/>
          <w:i/>
          <w:iCs/>
          <w:sz w:val="22"/>
          <w:szCs w:val="22"/>
        </w:rPr>
        <w:t>Detection</w:t>
      </w:r>
      <w:r w:rsidRPr="00033CD7">
        <w:rPr>
          <w:rFonts w:asciiTheme="majorBidi" w:hAnsiTheme="majorBidi" w:cstheme="majorBidi"/>
          <w:sz w:val="22"/>
          <w:szCs w:val="22"/>
        </w:rPr>
        <w:t xml:space="preserve"> menunjukkan kemampuan sistem kontrol, alarm, inspeksi, dan operator dalam mengenali kegagalan sebelum berkembang menjadi kondisi berbahaya </w:t>
      </w:r>
      <w:r w:rsidR="007A70A4">
        <w:rPr>
          <w:rFonts w:asciiTheme="majorBidi" w:hAnsiTheme="majorBidi" w:cstheme="majorBidi"/>
          <w:sz w:val="22"/>
          <w:szCs w:val="22"/>
        </w:rPr>
        <w:fldChar w:fldCharType="begin" w:fldLock="1"/>
      </w:r>
      <w:r w:rsidR="007A70A4">
        <w:rPr>
          <w:rFonts w:asciiTheme="majorBidi" w:hAnsiTheme="majorBidi" w:cstheme="majorBidi"/>
          <w:sz w:val="22"/>
          <w:szCs w:val="22"/>
        </w:rPr>
        <w:instrText>ADDIN CSL_CITATION {"citationItems":[{"id":"ITEM-1","itemData":{"author":[{"dropping-particle":"","family":"Popov","given":"Georgi","non-dropping-particle":"","parse-names":false,"suffix":""},{"dropping-particle":"","family":"Lyon","given":"Bruce K","non-dropping-particle":"","parse-names":false,"suffix":""},{"dropping-particle":"","family":"Hollcroft","given":"Bruce D","non-dropping-particle":"","parse-names":false,"suffix":""}],"id":"ITEM-1","issued":{"date-parts":[["2022"]]},"publisher":"Wiley","title":"Risk Assessment: A Practical Guide to Assessing Operational Risks","type":"book"},"uris":["http://www.mendeley.com/documents/?uuid=45910497-d978-4b90-bc6a-47d7882226ca"]},{"id":"ITEM-2","itemData":{"author":[{"dropping-particle":"","family":"ANSI/ASSP","given":"","non-dropping-particle":"","parse-names":false,"suffix":""}],"id":"ITEM-2","issued":{"date-parts":[["2021"]]},"publisher":"American Society of Safety Professionals","title":"ANSI/ASSP Z590.3-2021 Prevention Through Design: Guidelines for Addressing Occupational Hazards and Risks in Design and Redesign Processes","type":"article"},"uris":["http://www.mendeley.com/documents/?uuid=1ad99bde-0725-494e-8c49-c573310a6279"]}],"mendeley":{"formattedCitation":"[23], [31]","plainTextFormattedCitation":"[23], [31]","previouslyFormattedCitation":"[23], [31]"},"properties":{"noteIndex":0},"schema":"https://github.com/citation-style-language/schema/raw/master/csl-citation.json"}</w:instrText>
      </w:r>
      <w:r w:rsidR="007A70A4">
        <w:rPr>
          <w:rFonts w:asciiTheme="majorBidi" w:hAnsiTheme="majorBidi" w:cstheme="majorBidi"/>
          <w:sz w:val="22"/>
          <w:szCs w:val="22"/>
        </w:rPr>
        <w:fldChar w:fldCharType="separate"/>
      </w:r>
      <w:r w:rsidR="007A70A4" w:rsidRPr="007A70A4">
        <w:rPr>
          <w:rFonts w:asciiTheme="majorBidi" w:hAnsiTheme="majorBidi" w:cstheme="majorBidi"/>
          <w:noProof/>
          <w:sz w:val="22"/>
          <w:szCs w:val="22"/>
        </w:rPr>
        <w:t>[23], [31]</w:t>
      </w:r>
      <w:r w:rsidR="007A70A4">
        <w:rPr>
          <w:rFonts w:asciiTheme="majorBidi" w:hAnsiTheme="majorBidi" w:cstheme="majorBidi"/>
          <w:sz w:val="22"/>
          <w:szCs w:val="22"/>
        </w:rPr>
        <w:fldChar w:fldCharType="end"/>
      </w:r>
      <w:r w:rsidRPr="00033CD7">
        <w:rPr>
          <w:rFonts w:asciiTheme="majorBidi" w:hAnsiTheme="majorBidi" w:cstheme="majorBidi"/>
          <w:sz w:val="22"/>
          <w:szCs w:val="22"/>
        </w:rPr>
        <w:t xml:space="preserve">. Variabel keluaran berupa nilai </w:t>
      </w:r>
      <w:r w:rsidRPr="00033CD7">
        <w:rPr>
          <w:rFonts w:asciiTheme="majorBidi" w:hAnsiTheme="majorBidi" w:cstheme="majorBidi"/>
          <w:i/>
          <w:iCs/>
          <w:sz w:val="22"/>
          <w:szCs w:val="22"/>
        </w:rPr>
        <w:t>Risk Priority Number</w:t>
      </w:r>
      <w:r w:rsidRPr="00033CD7">
        <w:rPr>
          <w:rFonts w:asciiTheme="majorBidi" w:hAnsiTheme="majorBidi" w:cstheme="majorBidi"/>
          <w:sz w:val="22"/>
          <w:szCs w:val="22"/>
        </w:rPr>
        <w:t xml:space="preserve"> (RPN), kategori risiko, urutan prioritas, dan rekomendasi mitigasi.</w:t>
      </w:r>
    </w:p>
    <w:p w14:paraId="2436BF2F" w14:textId="024C37AC" w:rsidR="00467989" w:rsidRDefault="00467989" w:rsidP="00467989">
      <w:pPr>
        <w:pStyle w:val="NormalWeb"/>
        <w:spacing w:before="0" w:beforeAutospacing="0" w:after="0" w:afterAutospacing="0"/>
        <w:ind w:firstLine="720"/>
        <w:jc w:val="both"/>
        <w:rPr>
          <w:rFonts w:asciiTheme="majorBidi" w:hAnsiTheme="majorBidi" w:cstheme="majorBidi"/>
          <w:sz w:val="22"/>
          <w:szCs w:val="22"/>
        </w:rPr>
      </w:pPr>
      <w:r w:rsidRPr="00033CD7">
        <w:rPr>
          <w:rFonts w:asciiTheme="majorBidi" w:hAnsiTheme="majorBidi" w:cstheme="majorBidi"/>
          <w:sz w:val="22"/>
          <w:szCs w:val="22"/>
        </w:rPr>
        <w:t xml:space="preserve">Penilaian </w:t>
      </w:r>
      <w:r w:rsidRPr="00033CD7">
        <w:rPr>
          <w:rFonts w:asciiTheme="majorBidi" w:hAnsiTheme="majorBidi" w:cstheme="majorBidi"/>
          <w:i/>
          <w:iCs/>
          <w:sz w:val="22"/>
          <w:szCs w:val="22"/>
        </w:rPr>
        <w:t>severity</w:t>
      </w:r>
      <w:r w:rsidRPr="00033CD7">
        <w:rPr>
          <w:rFonts w:asciiTheme="majorBidi" w:hAnsiTheme="majorBidi" w:cstheme="majorBidi"/>
          <w:sz w:val="22"/>
          <w:szCs w:val="22"/>
        </w:rPr>
        <w:t xml:space="preserve">, </w:t>
      </w:r>
      <w:r w:rsidRPr="00033CD7">
        <w:rPr>
          <w:rFonts w:asciiTheme="majorBidi" w:hAnsiTheme="majorBidi" w:cstheme="majorBidi"/>
          <w:i/>
          <w:iCs/>
          <w:sz w:val="22"/>
          <w:szCs w:val="22"/>
        </w:rPr>
        <w:t>occurrence</w:t>
      </w:r>
      <w:r w:rsidRPr="00033CD7">
        <w:rPr>
          <w:rFonts w:asciiTheme="majorBidi" w:hAnsiTheme="majorBidi" w:cstheme="majorBidi"/>
          <w:sz w:val="22"/>
          <w:szCs w:val="22"/>
        </w:rPr>
        <w:t xml:space="preserve">, dan </w:t>
      </w:r>
      <w:r w:rsidRPr="00033CD7">
        <w:rPr>
          <w:rFonts w:asciiTheme="majorBidi" w:hAnsiTheme="majorBidi" w:cstheme="majorBidi"/>
          <w:i/>
          <w:iCs/>
          <w:sz w:val="22"/>
          <w:szCs w:val="22"/>
        </w:rPr>
        <w:t>detection</w:t>
      </w:r>
      <w:r w:rsidRPr="00033CD7">
        <w:rPr>
          <w:rFonts w:asciiTheme="majorBidi" w:hAnsiTheme="majorBidi" w:cstheme="majorBidi"/>
          <w:sz w:val="22"/>
          <w:szCs w:val="22"/>
        </w:rPr>
        <w:t xml:space="preserve"> menggunakan skala 1–10 sebagaimana umum diterapkan pada FMEA industri proses dan sistem keselamatan teknik </w:t>
      </w:r>
      <w:r w:rsidR="007A70A4">
        <w:rPr>
          <w:rFonts w:asciiTheme="majorBidi" w:hAnsiTheme="majorBidi" w:cstheme="majorBidi"/>
          <w:sz w:val="22"/>
          <w:szCs w:val="22"/>
        </w:rPr>
        <w:fldChar w:fldCharType="begin" w:fldLock="1"/>
      </w:r>
      <w:r w:rsidR="007A70A4">
        <w:rPr>
          <w:rFonts w:asciiTheme="majorBidi" w:hAnsiTheme="majorBidi" w:cstheme="majorBidi"/>
          <w:sz w:val="22"/>
          <w:szCs w:val="22"/>
        </w:rPr>
        <w:instrText>ADDIN CSL_CITATION {"citationItems":[{"id":"ITEM-1","itemData":{"DOI":"10.3390/en14196013","author":[{"dropping-particle":"","family":"Carro","given":"A","non-dropping-particle":"","parse-names":false,"suffix":""},{"dropping-particle":"","family":"Gonzalez","given":"A","non-dropping-particle":"","parse-names":false,"suffix":""},{"dropping-particle":"","family":"Caceres","given":"G","non-dropping-particle":"","parse-names":false,"suffix":""}],"container-title":"Energies","id":"ITEM-1","issue":"19","issued":{"date-parts":[["2021"]]},"page":"6013","title":"FMEA and Risk Assessment for Thermochemical Energy Storage Systems","type":"article-journal","volume":"14"},"uris":["http://www.mendeley.com/documents/?uuid=5150f33d-f963-41d8-b1b3-bf72ac1165ef"]},{"id":"ITEM-2","itemData":{"DOI":"10.3390/pr121100820","author":[{"dropping-particle":"","family":"Kuchekar","given":"P","non-dropping-particle":"","parse-names":false,"suffix":""},{"dropping-particle":"","family":"Sutar","given":"R","non-dropping-particle":"","parse-names":false,"suffix":""},{"dropping-particle":"","family":"Patil","given":"P","non-dropping-particle":"","parse-names":false,"suffix":""}],"container-title":"Processes","id":"ITEM-2","issue":"11","issued":{"date-parts":[["2024"]]},"page":"820","title":"Assessing the Critical Factors Leading to the Failure of Pressure Relief Valves: A Case Study","type":"article-journal","volume":"12"},"uris":["http://www.mendeley.com/documents/?uuid=6de7d046-c2cf-442b-a09b-0e4da7082d57"]}],"mendeley":{"formattedCitation":"[9], [16]","plainTextFormattedCitation":"[9], [16]","previouslyFormattedCitation":"[9], [16]"},"properties":{"noteIndex":0},"schema":"https://github.com/citation-style-language/schema/raw/master/csl-citation.json"}</w:instrText>
      </w:r>
      <w:r w:rsidR="007A70A4">
        <w:rPr>
          <w:rFonts w:asciiTheme="majorBidi" w:hAnsiTheme="majorBidi" w:cstheme="majorBidi"/>
          <w:sz w:val="22"/>
          <w:szCs w:val="22"/>
        </w:rPr>
        <w:fldChar w:fldCharType="separate"/>
      </w:r>
      <w:r w:rsidR="007A70A4" w:rsidRPr="007A70A4">
        <w:rPr>
          <w:rFonts w:asciiTheme="majorBidi" w:hAnsiTheme="majorBidi" w:cstheme="majorBidi"/>
          <w:noProof/>
          <w:sz w:val="22"/>
          <w:szCs w:val="22"/>
        </w:rPr>
        <w:t>[9], [16]</w:t>
      </w:r>
      <w:r w:rsidR="007A70A4">
        <w:rPr>
          <w:rFonts w:asciiTheme="majorBidi" w:hAnsiTheme="majorBidi" w:cstheme="majorBidi"/>
          <w:sz w:val="22"/>
          <w:szCs w:val="22"/>
        </w:rPr>
        <w:fldChar w:fldCharType="end"/>
      </w:r>
      <w:r w:rsidRPr="00033CD7">
        <w:rPr>
          <w:rFonts w:asciiTheme="majorBidi" w:hAnsiTheme="majorBidi" w:cstheme="majorBidi"/>
          <w:sz w:val="22"/>
          <w:szCs w:val="22"/>
        </w:rPr>
        <w:t xml:space="preserve">. Nilai </w:t>
      </w:r>
      <w:r w:rsidRPr="00033CD7">
        <w:rPr>
          <w:rFonts w:asciiTheme="majorBidi" w:hAnsiTheme="majorBidi" w:cstheme="majorBidi"/>
          <w:i/>
          <w:iCs/>
          <w:sz w:val="22"/>
          <w:szCs w:val="22"/>
        </w:rPr>
        <w:t>severity</w:t>
      </w:r>
      <w:r w:rsidRPr="00033CD7">
        <w:rPr>
          <w:rFonts w:asciiTheme="majorBidi" w:hAnsiTheme="majorBidi" w:cstheme="majorBidi"/>
          <w:sz w:val="22"/>
          <w:szCs w:val="22"/>
        </w:rPr>
        <w:t xml:space="preserve"> yang lebih tinggi menunjukkan konsekuensi yang lebih besar terhadap keselamatan dan operasi. Nilai </w:t>
      </w:r>
      <w:r w:rsidRPr="00033CD7">
        <w:rPr>
          <w:rFonts w:asciiTheme="majorBidi" w:hAnsiTheme="majorBidi" w:cstheme="majorBidi"/>
          <w:i/>
          <w:iCs/>
          <w:sz w:val="22"/>
          <w:szCs w:val="22"/>
        </w:rPr>
        <w:t>occurrence</w:t>
      </w:r>
      <w:r w:rsidRPr="00033CD7">
        <w:rPr>
          <w:rFonts w:asciiTheme="majorBidi" w:hAnsiTheme="majorBidi" w:cstheme="majorBidi"/>
          <w:sz w:val="22"/>
          <w:szCs w:val="22"/>
        </w:rPr>
        <w:t xml:space="preserve"> yang lebih tinggi menunjukkan probabilitas kegagalan yang lebih sering, sedangkan nilai </w:t>
      </w:r>
      <w:r w:rsidRPr="00033CD7">
        <w:rPr>
          <w:rFonts w:asciiTheme="majorBidi" w:hAnsiTheme="majorBidi" w:cstheme="majorBidi"/>
          <w:i/>
          <w:iCs/>
          <w:sz w:val="22"/>
          <w:szCs w:val="22"/>
        </w:rPr>
        <w:t>detection</w:t>
      </w:r>
      <w:r w:rsidRPr="00033CD7">
        <w:rPr>
          <w:rFonts w:asciiTheme="majorBidi" w:hAnsiTheme="majorBidi" w:cstheme="majorBidi"/>
          <w:sz w:val="22"/>
          <w:szCs w:val="22"/>
        </w:rPr>
        <w:t xml:space="preserve"> yang lebih tinggi menunjukkan kelemahan sistem dalam mendeteksi kegagalan. Nilai risiko dihitung menggunakan persamaan:</w:t>
      </w:r>
    </w:p>
    <w:p w14:paraId="331ADDB5" w14:textId="77777777" w:rsidR="003417AF" w:rsidRPr="00033CD7" w:rsidRDefault="003417AF" w:rsidP="00467989">
      <w:pPr>
        <w:pStyle w:val="NormalWeb"/>
        <w:spacing w:before="0" w:beforeAutospacing="0" w:after="0" w:afterAutospacing="0"/>
        <w:ind w:firstLine="720"/>
        <w:jc w:val="both"/>
        <w:rPr>
          <w:rFonts w:asciiTheme="majorBidi" w:hAnsiTheme="majorBidi" w:cstheme="majorBidi"/>
          <w:sz w:val="22"/>
          <w:szCs w:val="22"/>
        </w:rPr>
      </w:pPr>
    </w:p>
    <w:p w14:paraId="63512D76" w14:textId="7E2CAC06" w:rsidR="00467989" w:rsidRPr="00033CD7" w:rsidRDefault="00467989" w:rsidP="00467989">
      <w:pPr>
        <w:pStyle w:val="NormalWeb"/>
        <w:spacing w:before="0" w:beforeAutospacing="0" w:after="0" w:afterAutospacing="0"/>
        <w:jc w:val="both"/>
        <w:rPr>
          <w:rStyle w:val="katex-mathml"/>
          <w:rFonts w:asciiTheme="majorBidi" w:hAnsiTheme="majorBidi" w:cstheme="majorBidi"/>
          <w:sz w:val="22"/>
          <w:szCs w:val="22"/>
        </w:rPr>
      </w:pPr>
      <m:oMathPara>
        <m:oMath>
          <m:r>
            <w:rPr>
              <w:rStyle w:val="katex-mathml"/>
              <w:rFonts w:ascii="Cambria Math" w:eastAsia="MS Mincho" w:hAnsi="Cambria Math" w:cstheme="majorBidi"/>
              <w:sz w:val="22"/>
              <w:szCs w:val="22"/>
            </w:rPr>
            <m:t xml:space="preserve">RPN = S </m:t>
          </m:r>
          <m:r>
            <m:rPr>
              <m:sty m:val="p"/>
            </m:rPr>
            <w:rPr>
              <w:rStyle w:val="katex-mathml"/>
              <w:rFonts w:ascii="Cambria Math" w:eastAsia="MS Mincho" w:hAnsi="Cambria Math" w:cstheme="majorBidi"/>
              <w:sz w:val="22"/>
              <w:szCs w:val="22"/>
            </w:rPr>
            <m:t>×</m:t>
          </m:r>
          <m:r>
            <w:rPr>
              <w:rStyle w:val="katex-mathml"/>
              <w:rFonts w:ascii="Cambria Math" w:eastAsia="MS Mincho" w:hAnsi="Cambria Math" w:cstheme="majorBidi"/>
              <w:sz w:val="22"/>
              <w:szCs w:val="22"/>
            </w:rPr>
            <m:t xml:space="preserve">O </m:t>
          </m:r>
          <m:r>
            <m:rPr>
              <m:sty m:val="p"/>
            </m:rPr>
            <w:rPr>
              <w:rStyle w:val="katex-mathml"/>
              <w:rFonts w:ascii="Cambria Math" w:eastAsia="MS Mincho" w:hAnsi="Cambria Math" w:cstheme="majorBidi"/>
              <w:sz w:val="22"/>
              <w:szCs w:val="22"/>
            </w:rPr>
            <m:t>×</m:t>
          </m:r>
          <m:r>
            <w:rPr>
              <w:rStyle w:val="katex-mathml"/>
              <w:rFonts w:ascii="Cambria Math" w:eastAsia="MS Mincho" w:hAnsi="Cambria Math" w:cstheme="majorBidi"/>
              <w:sz w:val="22"/>
              <w:szCs w:val="22"/>
            </w:rPr>
            <m:t>D</m:t>
          </m:r>
        </m:oMath>
      </m:oMathPara>
    </w:p>
    <w:p w14:paraId="12D05978" w14:textId="77777777" w:rsidR="00467989" w:rsidRPr="00033CD7" w:rsidRDefault="00467989" w:rsidP="00467989">
      <w:pPr>
        <w:pStyle w:val="NormalWeb"/>
        <w:spacing w:before="0" w:beforeAutospacing="0" w:after="0" w:afterAutospacing="0"/>
        <w:jc w:val="both"/>
        <w:rPr>
          <w:rFonts w:asciiTheme="majorBidi" w:hAnsiTheme="majorBidi" w:cstheme="majorBidi"/>
          <w:sz w:val="22"/>
          <w:szCs w:val="22"/>
        </w:rPr>
      </w:pPr>
    </w:p>
    <w:p w14:paraId="3C49FB55" w14:textId="3FD4D9A2" w:rsidR="00467989" w:rsidRPr="00033CD7" w:rsidRDefault="00467989" w:rsidP="00467989">
      <w:pPr>
        <w:pStyle w:val="NormalWeb"/>
        <w:spacing w:before="0" w:beforeAutospacing="0" w:after="0" w:afterAutospacing="0"/>
        <w:jc w:val="both"/>
        <w:rPr>
          <w:rFonts w:asciiTheme="majorBidi" w:hAnsiTheme="majorBidi" w:cstheme="majorBidi"/>
          <w:sz w:val="22"/>
          <w:szCs w:val="22"/>
        </w:rPr>
      </w:pPr>
      <w:r w:rsidRPr="00033CD7">
        <w:rPr>
          <w:rFonts w:asciiTheme="majorBidi" w:hAnsiTheme="majorBidi" w:cstheme="majorBidi"/>
          <w:sz w:val="22"/>
          <w:szCs w:val="22"/>
        </w:rPr>
        <w:t xml:space="preserve">dengan </w:t>
      </w:r>
      <w:r w:rsidRPr="00033CD7">
        <w:rPr>
          <w:rStyle w:val="katex-mathml"/>
          <w:rFonts w:asciiTheme="majorBidi" w:hAnsiTheme="majorBidi" w:cstheme="majorBidi"/>
          <w:sz w:val="22"/>
          <w:szCs w:val="22"/>
        </w:rPr>
        <w:t>RPN</w:t>
      </w:r>
      <w:r w:rsidRPr="00033CD7">
        <w:rPr>
          <w:rFonts w:asciiTheme="majorBidi" w:hAnsiTheme="majorBidi" w:cstheme="majorBidi"/>
          <w:sz w:val="22"/>
          <w:szCs w:val="22"/>
        </w:rPr>
        <w:t xml:space="preserve"> sebagai </w:t>
      </w:r>
      <w:r w:rsidRPr="00033CD7">
        <w:rPr>
          <w:rFonts w:asciiTheme="majorBidi" w:hAnsiTheme="majorBidi" w:cstheme="majorBidi"/>
          <w:i/>
          <w:iCs/>
          <w:sz w:val="22"/>
          <w:szCs w:val="22"/>
        </w:rPr>
        <w:t>Risk Priority Number</w:t>
      </w:r>
      <w:r w:rsidRPr="00033CD7">
        <w:rPr>
          <w:rFonts w:asciiTheme="majorBidi" w:hAnsiTheme="majorBidi" w:cstheme="majorBidi"/>
          <w:sz w:val="22"/>
          <w:szCs w:val="22"/>
        </w:rPr>
        <w:t xml:space="preserve">, </w:t>
      </w:r>
      <w:r w:rsidRPr="00033CD7">
        <w:rPr>
          <w:rStyle w:val="mord"/>
          <w:rFonts w:asciiTheme="majorBidi" w:hAnsiTheme="majorBidi" w:cstheme="majorBidi"/>
          <w:i/>
          <w:iCs/>
          <w:sz w:val="22"/>
          <w:szCs w:val="22"/>
        </w:rPr>
        <w:t>S</w:t>
      </w:r>
      <w:r w:rsidRPr="00033CD7">
        <w:rPr>
          <w:rFonts w:asciiTheme="majorBidi" w:hAnsiTheme="majorBidi" w:cstheme="majorBidi"/>
          <w:sz w:val="22"/>
          <w:szCs w:val="22"/>
        </w:rPr>
        <w:t xml:space="preserve"> sebagai </w:t>
      </w:r>
      <w:r w:rsidRPr="00033CD7">
        <w:rPr>
          <w:rFonts w:asciiTheme="majorBidi" w:hAnsiTheme="majorBidi" w:cstheme="majorBidi"/>
          <w:i/>
          <w:iCs/>
          <w:sz w:val="22"/>
          <w:szCs w:val="22"/>
        </w:rPr>
        <w:t>severity</w:t>
      </w:r>
      <w:r w:rsidRPr="00033CD7">
        <w:rPr>
          <w:rFonts w:asciiTheme="majorBidi" w:hAnsiTheme="majorBidi" w:cstheme="majorBidi"/>
          <w:sz w:val="22"/>
          <w:szCs w:val="22"/>
        </w:rPr>
        <w:t xml:space="preserve">, </w:t>
      </w:r>
      <w:r w:rsidRPr="00033CD7">
        <w:rPr>
          <w:rStyle w:val="mord"/>
          <w:rFonts w:asciiTheme="majorBidi" w:hAnsiTheme="majorBidi" w:cstheme="majorBidi"/>
          <w:i/>
          <w:iCs/>
          <w:sz w:val="22"/>
          <w:szCs w:val="22"/>
        </w:rPr>
        <w:t>O</w:t>
      </w:r>
      <w:r w:rsidRPr="00033CD7">
        <w:rPr>
          <w:rFonts w:asciiTheme="majorBidi" w:hAnsiTheme="majorBidi" w:cstheme="majorBidi"/>
          <w:sz w:val="22"/>
          <w:szCs w:val="22"/>
        </w:rPr>
        <w:t xml:space="preserve"> sebagai </w:t>
      </w:r>
      <w:r w:rsidRPr="00033CD7">
        <w:rPr>
          <w:rFonts w:asciiTheme="majorBidi" w:hAnsiTheme="majorBidi" w:cstheme="majorBidi"/>
          <w:i/>
          <w:iCs/>
          <w:sz w:val="22"/>
          <w:szCs w:val="22"/>
        </w:rPr>
        <w:t>occurrence</w:t>
      </w:r>
      <w:r w:rsidRPr="00033CD7">
        <w:rPr>
          <w:rFonts w:asciiTheme="majorBidi" w:hAnsiTheme="majorBidi" w:cstheme="majorBidi"/>
          <w:sz w:val="22"/>
          <w:szCs w:val="22"/>
        </w:rPr>
        <w:t xml:space="preserve">, dan </w:t>
      </w:r>
      <w:r w:rsidRPr="00033CD7">
        <w:rPr>
          <w:rStyle w:val="mord"/>
          <w:rFonts w:asciiTheme="majorBidi" w:hAnsiTheme="majorBidi" w:cstheme="majorBidi"/>
          <w:i/>
          <w:iCs/>
          <w:sz w:val="22"/>
          <w:szCs w:val="22"/>
        </w:rPr>
        <w:t>D</w:t>
      </w:r>
      <w:r w:rsidRPr="00033CD7">
        <w:rPr>
          <w:rFonts w:asciiTheme="majorBidi" w:hAnsiTheme="majorBidi" w:cstheme="majorBidi"/>
          <w:sz w:val="22"/>
          <w:szCs w:val="22"/>
        </w:rPr>
        <w:t xml:space="preserve"> sebagai </w:t>
      </w:r>
      <w:r w:rsidRPr="00033CD7">
        <w:rPr>
          <w:rFonts w:asciiTheme="majorBidi" w:hAnsiTheme="majorBidi" w:cstheme="majorBidi"/>
          <w:i/>
          <w:iCs/>
          <w:sz w:val="22"/>
          <w:szCs w:val="22"/>
        </w:rPr>
        <w:t>detection</w:t>
      </w:r>
      <w:r w:rsidRPr="00033CD7">
        <w:rPr>
          <w:rFonts w:asciiTheme="majorBidi" w:hAnsiTheme="majorBidi" w:cstheme="majorBidi"/>
          <w:sz w:val="22"/>
          <w:szCs w:val="22"/>
        </w:rPr>
        <w:t xml:space="preserve">. Nilai RPN digunakan untuk mengurutkan </w:t>
      </w:r>
      <w:r w:rsidRPr="00033CD7">
        <w:rPr>
          <w:rFonts w:asciiTheme="majorBidi" w:hAnsiTheme="majorBidi" w:cstheme="majorBidi"/>
          <w:i/>
          <w:iCs/>
          <w:sz w:val="22"/>
          <w:szCs w:val="22"/>
        </w:rPr>
        <w:t>failure mode</w:t>
      </w:r>
      <w:r w:rsidRPr="00033CD7">
        <w:rPr>
          <w:rFonts w:asciiTheme="majorBidi" w:hAnsiTheme="majorBidi" w:cstheme="majorBidi"/>
          <w:sz w:val="22"/>
          <w:szCs w:val="22"/>
        </w:rPr>
        <w:t xml:space="preserve"> dari tingkat risiko tertinggi sampai terendah. Pendekatan prioritisasi ini digunakan secara luas pada analisis </w:t>
      </w:r>
      <w:r w:rsidRPr="00033CD7">
        <w:rPr>
          <w:rFonts w:asciiTheme="majorBidi" w:hAnsiTheme="majorBidi" w:cstheme="majorBidi"/>
          <w:i/>
          <w:iCs/>
          <w:sz w:val="22"/>
          <w:szCs w:val="22"/>
        </w:rPr>
        <w:t>valve failure</w:t>
      </w:r>
      <w:r w:rsidRPr="00033CD7">
        <w:rPr>
          <w:rFonts w:asciiTheme="majorBidi" w:hAnsiTheme="majorBidi" w:cstheme="majorBidi"/>
          <w:sz w:val="22"/>
          <w:szCs w:val="22"/>
        </w:rPr>
        <w:t xml:space="preserve">, </w:t>
      </w:r>
      <w:r w:rsidRPr="00033CD7">
        <w:rPr>
          <w:rFonts w:asciiTheme="majorBidi" w:hAnsiTheme="majorBidi" w:cstheme="majorBidi"/>
          <w:i/>
          <w:iCs/>
          <w:sz w:val="22"/>
          <w:szCs w:val="22"/>
        </w:rPr>
        <w:t>pressure relief system</w:t>
      </w:r>
      <w:r w:rsidRPr="00033CD7">
        <w:rPr>
          <w:rFonts w:asciiTheme="majorBidi" w:hAnsiTheme="majorBidi" w:cstheme="majorBidi"/>
          <w:sz w:val="22"/>
          <w:szCs w:val="22"/>
        </w:rPr>
        <w:t xml:space="preserve">, </w:t>
      </w:r>
      <w:r w:rsidRPr="00033CD7">
        <w:rPr>
          <w:rFonts w:asciiTheme="majorBidi" w:hAnsiTheme="majorBidi" w:cstheme="majorBidi"/>
          <w:i/>
          <w:iCs/>
          <w:sz w:val="22"/>
          <w:szCs w:val="22"/>
        </w:rPr>
        <w:t>pipeline risk</w:t>
      </w:r>
      <w:r w:rsidRPr="00033CD7">
        <w:rPr>
          <w:rFonts w:asciiTheme="majorBidi" w:hAnsiTheme="majorBidi" w:cstheme="majorBidi"/>
          <w:sz w:val="22"/>
          <w:szCs w:val="22"/>
        </w:rPr>
        <w:t xml:space="preserve">, dan </w:t>
      </w:r>
      <w:r w:rsidRPr="00033CD7">
        <w:rPr>
          <w:rFonts w:asciiTheme="majorBidi" w:hAnsiTheme="majorBidi" w:cstheme="majorBidi"/>
          <w:i/>
          <w:iCs/>
          <w:sz w:val="22"/>
          <w:szCs w:val="22"/>
        </w:rPr>
        <w:t>process safety assessment</w:t>
      </w:r>
      <w:r w:rsidRPr="00033CD7">
        <w:rPr>
          <w:rFonts w:asciiTheme="majorBidi" w:hAnsiTheme="majorBidi" w:cstheme="majorBidi"/>
          <w:sz w:val="22"/>
          <w:szCs w:val="22"/>
        </w:rPr>
        <w:t xml:space="preserve"> karena mampu menunjukkan mode kegagalan yang paling kritis terhadap operasi sistem </w:t>
      </w:r>
      <w:r w:rsidR="007A70A4">
        <w:rPr>
          <w:rFonts w:asciiTheme="majorBidi" w:hAnsiTheme="majorBidi" w:cstheme="majorBidi"/>
          <w:sz w:val="22"/>
          <w:szCs w:val="22"/>
        </w:rPr>
        <w:fldChar w:fldCharType="begin" w:fldLock="1"/>
      </w:r>
      <w:r w:rsidR="007A70A4">
        <w:rPr>
          <w:rFonts w:asciiTheme="majorBidi" w:hAnsiTheme="majorBidi" w:cstheme="majorBidi"/>
          <w:sz w:val="22"/>
          <w:szCs w:val="22"/>
        </w:rPr>
        <w:instrText>ADDIN CSL_CITATION {"citationItems":[{"id":"ITEM-1","itemData":{"author":[{"dropping-particle":"Bin","family":"Yusof","given":"M A","non-dropping-particle":"","parse-names":false,"suffix":""},{"dropping-particle":"","family":"Abdullah","given":"N H B","non-dropping-particle":"","parse-names":false,"suffix":""}],"container-title":"Journal of Engineering Science and Technology","id":"ITEM-1","issue":"9","issued":{"date-parts":[["2016"]]},"page":"9-19","title":"Failure Mode and Effect Analysis (FMEA) of Butterfly Valve in Oil and Gas Industry","type":"article-journal","volume":"11"},"uris":["http://www.mendeley.com/documents/?uuid=8bb1a13e-95eb-478a-aafd-1d516253a2dc"]},{"id":"ITEM-2","itemData":{"DOI":"10.1007/s11668-020-00919-8","author":[{"dropping-particle":"","family":"Sotoodeh","given":"K","non-dropping-particle":"","parse-names":false,"suffix":""}],"container-title":"Journal of Failure Analysis and Prevention","id":"ITEM-2","issue":"4","issued":{"date-parts":[["2020"]]},"page":"1175-1183","title":"Failure Mode and Effect Analysis (FMEA) of Pipeline Ball Valves in the Offshore Industry","type":"article-journal","volume":"20"},"uris":["http://www.mendeley.com/documents/?uuid=26e74cfc-ac9e-4fe2-a336-f95bb69fab1a"]},{"id":"ITEM-3","itemData":{"DOI":"10.1016/j.ssci.2017.09.011","author":[{"dropping-particle":"","family":"Maniram Kumar","given":"A","non-dropping-particle":"","parse-names":false,"suffix":""},{"dropping-particle":"","family":"Rajakarunakaran","given":"S","non-dropping-particle":"","parse-names":false,"suffix":""},{"dropping-particle":"","family":"Pitchipoo","given":"P","non-dropping-particle":"","parse-names":false,"suffix":""},{"dropping-particle":"","family":"Vimalesan","given":"R","non-dropping-particle":"","parse-names":false,"suffix":""}],"container-title":"Safety Science","id":"ITEM-3","issued":{"date-parts":[["2018"]]},"page":"231-247","title":"Fuzzy Based Risk Prioritisation in an Auto LPG Dispensing Station","type":"article-journal","volume":"101"},"uris":["http://www.mendeley.com/documents/?uuid=82791404-952d-47a6-8e11-f12566709cc8"]}],"mendeley":{"formattedCitation":"[12], [32], [33]","plainTextFormattedCitation":"[12], [32], [33]","previouslyFormattedCitation":"[12], [32], [33]"},"properties":{"noteIndex":0},"schema":"https://github.com/citation-style-language/schema/raw/master/csl-citation.json"}</w:instrText>
      </w:r>
      <w:r w:rsidR="007A70A4">
        <w:rPr>
          <w:rFonts w:asciiTheme="majorBidi" w:hAnsiTheme="majorBidi" w:cstheme="majorBidi"/>
          <w:sz w:val="22"/>
          <w:szCs w:val="22"/>
        </w:rPr>
        <w:fldChar w:fldCharType="separate"/>
      </w:r>
      <w:r w:rsidR="007A70A4" w:rsidRPr="007A70A4">
        <w:rPr>
          <w:rFonts w:asciiTheme="majorBidi" w:hAnsiTheme="majorBidi" w:cstheme="majorBidi"/>
          <w:noProof/>
          <w:sz w:val="22"/>
          <w:szCs w:val="22"/>
        </w:rPr>
        <w:t>[12], [32], [33]</w:t>
      </w:r>
      <w:r w:rsidR="007A70A4">
        <w:rPr>
          <w:rFonts w:asciiTheme="majorBidi" w:hAnsiTheme="majorBidi" w:cstheme="majorBidi"/>
          <w:sz w:val="22"/>
          <w:szCs w:val="22"/>
        </w:rPr>
        <w:fldChar w:fldCharType="end"/>
      </w:r>
      <w:r w:rsidRPr="00033CD7">
        <w:rPr>
          <w:rFonts w:asciiTheme="majorBidi" w:hAnsiTheme="majorBidi" w:cstheme="majorBidi"/>
          <w:sz w:val="22"/>
          <w:szCs w:val="22"/>
        </w:rPr>
        <w:t>.</w:t>
      </w:r>
    </w:p>
    <w:p w14:paraId="7D3BC231" w14:textId="77777777" w:rsidR="00467989" w:rsidRPr="00033CD7" w:rsidRDefault="00467989" w:rsidP="00467989">
      <w:pPr>
        <w:pStyle w:val="NormalWeb"/>
        <w:spacing w:before="0" w:beforeAutospacing="0" w:after="0" w:afterAutospacing="0"/>
        <w:ind w:firstLine="720"/>
        <w:jc w:val="both"/>
        <w:rPr>
          <w:rFonts w:asciiTheme="majorBidi" w:hAnsiTheme="majorBidi" w:cstheme="majorBidi"/>
          <w:sz w:val="22"/>
          <w:szCs w:val="22"/>
        </w:rPr>
      </w:pPr>
      <w:r w:rsidRPr="00033CD7">
        <w:rPr>
          <w:rFonts w:asciiTheme="majorBidi" w:hAnsiTheme="majorBidi" w:cstheme="majorBidi"/>
          <w:sz w:val="22"/>
          <w:szCs w:val="22"/>
        </w:rPr>
        <w:t xml:space="preserve">Tahapan penelitian dilakukan secara berurutan. Tahap pertama adalah pemetaan proses PRU untuk menentukan subsistem yang berhubungan dengan tekanan operasi. Tahap kedua adalah identifikasi </w:t>
      </w:r>
      <w:r w:rsidRPr="00033CD7">
        <w:rPr>
          <w:rFonts w:asciiTheme="majorBidi" w:hAnsiTheme="majorBidi" w:cstheme="majorBidi"/>
          <w:i/>
          <w:iCs/>
          <w:sz w:val="22"/>
          <w:szCs w:val="22"/>
        </w:rPr>
        <w:t xml:space="preserve">failure </w:t>
      </w:r>
      <w:r w:rsidRPr="00033CD7">
        <w:rPr>
          <w:rFonts w:asciiTheme="majorBidi" w:hAnsiTheme="majorBidi" w:cstheme="majorBidi"/>
          <w:sz w:val="22"/>
          <w:szCs w:val="22"/>
        </w:rPr>
        <w:t xml:space="preserve">mode berdasarkan observasi lapangan, histori gangguan, dokumen operasi, dan referensi teknis. Tahap ketiga adalah penilaian </w:t>
      </w:r>
      <w:r w:rsidRPr="00033CD7">
        <w:rPr>
          <w:rFonts w:asciiTheme="majorBidi" w:hAnsiTheme="majorBidi" w:cstheme="majorBidi"/>
          <w:i/>
          <w:iCs/>
          <w:sz w:val="22"/>
          <w:szCs w:val="22"/>
        </w:rPr>
        <w:t>severity,</w:t>
      </w:r>
      <w:r w:rsidRPr="00033CD7">
        <w:rPr>
          <w:rFonts w:asciiTheme="majorBidi" w:hAnsiTheme="majorBidi" w:cstheme="majorBidi"/>
          <w:sz w:val="22"/>
          <w:szCs w:val="22"/>
        </w:rPr>
        <w:t xml:space="preserve"> </w:t>
      </w:r>
      <w:r w:rsidRPr="00033CD7">
        <w:rPr>
          <w:rFonts w:asciiTheme="majorBidi" w:hAnsiTheme="majorBidi" w:cstheme="majorBidi"/>
          <w:i/>
          <w:iCs/>
          <w:sz w:val="22"/>
          <w:szCs w:val="22"/>
        </w:rPr>
        <w:t>occurrence</w:t>
      </w:r>
      <w:r w:rsidRPr="00033CD7">
        <w:rPr>
          <w:rFonts w:asciiTheme="majorBidi" w:hAnsiTheme="majorBidi" w:cstheme="majorBidi"/>
          <w:sz w:val="22"/>
          <w:szCs w:val="22"/>
        </w:rPr>
        <w:t xml:space="preserve">, dan </w:t>
      </w:r>
      <w:r w:rsidRPr="00033CD7">
        <w:rPr>
          <w:rFonts w:asciiTheme="majorBidi" w:hAnsiTheme="majorBidi" w:cstheme="majorBidi"/>
          <w:i/>
          <w:iCs/>
          <w:sz w:val="22"/>
          <w:szCs w:val="22"/>
        </w:rPr>
        <w:t>detection</w:t>
      </w:r>
      <w:r w:rsidRPr="00033CD7">
        <w:rPr>
          <w:rFonts w:asciiTheme="majorBidi" w:hAnsiTheme="majorBidi" w:cstheme="majorBidi"/>
          <w:sz w:val="22"/>
          <w:szCs w:val="22"/>
        </w:rPr>
        <w:t xml:space="preserve"> untuk setiap </w:t>
      </w:r>
      <w:r w:rsidRPr="00033CD7">
        <w:rPr>
          <w:rFonts w:asciiTheme="majorBidi" w:hAnsiTheme="majorBidi" w:cstheme="majorBidi"/>
          <w:i/>
          <w:iCs/>
          <w:sz w:val="22"/>
          <w:szCs w:val="22"/>
        </w:rPr>
        <w:t>failure</w:t>
      </w:r>
      <w:r w:rsidRPr="00033CD7">
        <w:rPr>
          <w:rFonts w:asciiTheme="majorBidi" w:hAnsiTheme="majorBidi" w:cstheme="majorBidi"/>
          <w:sz w:val="22"/>
          <w:szCs w:val="22"/>
        </w:rPr>
        <w:t xml:space="preserve"> mode. Tahap keempat adalah perhitungan dan pengurutan nilai RPN. Tahap kelima adalah interpretasi prioritas risiko dan penyusunan rekomendasi mitigasi berdasarkan karakter kegagalan dominan. Struktur analisis ini digunakan agar hubungan antara penyebab kegagalan, dampak sistem, kemampuan deteksi, dan prioritas pengendalian dapat dibaca secara kuantitatif dan konsisten.</w:t>
      </w:r>
    </w:p>
    <w:p w14:paraId="3A74C34B" w14:textId="77777777" w:rsidR="00EA526B" w:rsidRDefault="00467989" w:rsidP="00EA526B">
      <w:pPr>
        <w:pStyle w:val="NormalWeb"/>
        <w:spacing w:before="0" w:beforeAutospacing="0" w:after="0" w:afterAutospacing="0"/>
        <w:ind w:firstLine="720"/>
        <w:jc w:val="both"/>
        <w:rPr>
          <w:rFonts w:asciiTheme="majorBidi" w:hAnsiTheme="majorBidi" w:cstheme="majorBidi"/>
          <w:sz w:val="22"/>
          <w:szCs w:val="22"/>
        </w:rPr>
      </w:pPr>
      <w:r w:rsidRPr="00033CD7">
        <w:rPr>
          <w:rFonts w:asciiTheme="majorBidi" w:hAnsiTheme="majorBidi" w:cstheme="majorBidi"/>
          <w:sz w:val="22"/>
          <w:szCs w:val="22"/>
        </w:rPr>
        <w:t xml:space="preserve">Kategori risiko ditentukan berdasarkan interval nilai RPN untuk mempermudah interpretasi prioritas mitigasi. Risiko sangat tinggi ditetapkan untuk RPN lebih dari 200, risiko tinggi untuk RPN 100–200, risiko sedang untuk RPN 50–100, dan risiko rendah untuk RPN kurang dari 50. Klasifikasi ini digunakan agar </w:t>
      </w:r>
      <w:r w:rsidRPr="00033CD7">
        <w:rPr>
          <w:rFonts w:asciiTheme="majorBidi" w:hAnsiTheme="majorBidi" w:cstheme="majorBidi"/>
          <w:i/>
          <w:iCs/>
          <w:sz w:val="22"/>
          <w:szCs w:val="22"/>
        </w:rPr>
        <w:t>failure</w:t>
      </w:r>
      <w:r w:rsidRPr="00033CD7">
        <w:rPr>
          <w:rFonts w:asciiTheme="majorBidi" w:hAnsiTheme="majorBidi" w:cstheme="majorBidi"/>
          <w:sz w:val="22"/>
          <w:szCs w:val="22"/>
        </w:rPr>
        <w:t xml:space="preserve"> mode dengan konsekuensi tinggi, probabilitas besar, dan kemampuan deteksi rendah memperoleh prioritas penanganan lebih awal. Dengan pendekatan tersebut, hasil FMEA tidak berhenti pada identifikasi kegagalan, tetapi menghasilkan dasar teknis untuk prioritas mitigasi risiko </w:t>
      </w:r>
      <w:r w:rsidRPr="00033CD7">
        <w:rPr>
          <w:rFonts w:asciiTheme="majorBidi" w:hAnsiTheme="majorBidi" w:cstheme="majorBidi"/>
          <w:i/>
          <w:iCs/>
          <w:sz w:val="22"/>
          <w:szCs w:val="22"/>
        </w:rPr>
        <w:t>overpressure</w:t>
      </w:r>
      <w:r w:rsidRPr="00033CD7">
        <w:rPr>
          <w:rFonts w:asciiTheme="majorBidi" w:hAnsiTheme="majorBidi" w:cstheme="majorBidi"/>
          <w:sz w:val="22"/>
          <w:szCs w:val="22"/>
        </w:rPr>
        <w:t xml:space="preserve"> pada PRU.</w:t>
      </w:r>
    </w:p>
    <w:p w14:paraId="674EA790" w14:textId="7B3136B1" w:rsidR="00EA526B" w:rsidRPr="00EA526B" w:rsidRDefault="00EA526B" w:rsidP="00EA526B">
      <w:pPr>
        <w:pStyle w:val="NormalWeb"/>
        <w:spacing w:before="0" w:beforeAutospacing="0" w:after="0" w:afterAutospacing="0"/>
        <w:ind w:firstLine="720"/>
        <w:jc w:val="both"/>
        <w:rPr>
          <w:rFonts w:asciiTheme="majorBidi" w:hAnsiTheme="majorBidi" w:cstheme="majorBidi"/>
          <w:sz w:val="22"/>
          <w:szCs w:val="22"/>
        </w:rPr>
      </w:pPr>
      <w:r w:rsidRPr="00EA526B">
        <w:rPr>
          <w:rFonts w:asciiTheme="majorBidi" w:hAnsiTheme="majorBidi" w:cstheme="majorBidi"/>
          <w:sz w:val="22"/>
          <w:szCs w:val="22"/>
        </w:rPr>
        <w:t xml:space="preserve">Tahapan analisis FMEA pada penelitian ini tidak hanya digunakan untuk mengidentifikasi </w:t>
      </w:r>
      <w:r w:rsidRPr="00EA526B">
        <w:rPr>
          <w:rFonts w:asciiTheme="majorBidi" w:hAnsiTheme="majorBidi" w:cstheme="majorBidi"/>
          <w:i/>
          <w:iCs/>
          <w:sz w:val="22"/>
          <w:szCs w:val="22"/>
        </w:rPr>
        <w:t>failure</w:t>
      </w:r>
      <w:r w:rsidRPr="00EA526B">
        <w:rPr>
          <w:rFonts w:asciiTheme="majorBidi" w:hAnsiTheme="majorBidi" w:cstheme="majorBidi"/>
          <w:sz w:val="22"/>
          <w:szCs w:val="22"/>
        </w:rPr>
        <w:t xml:space="preserve"> mode, tetapi juga untuk membaca hubungan antara penyebab kegagalan, konsekuensi operasi, kemampuan deteksi sistem, dan prioritas mitigasi secara kuantitatif. Struktur tersebut penting karena risiko </w:t>
      </w:r>
      <w:r w:rsidRPr="00EA526B">
        <w:rPr>
          <w:rFonts w:asciiTheme="majorBidi" w:hAnsiTheme="majorBidi" w:cstheme="majorBidi"/>
          <w:i/>
          <w:iCs/>
          <w:sz w:val="22"/>
          <w:szCs w:val="22"/>
        </w:rPr>
        <w:t>overpressure</w:t>
      </w:r>
      <w:r w:rsidRPr="00EA526B">
        <w:rPr>
          <w:rFonts w:asciiTheme="majorBidi" w:hAnsiTheme="majorBidi" w:cstheme="majorBidi"/>
          <w:sz w:val="22"/>
          <w:szCs w:val="22"/>
        </w:rPr>
        <w:t xml:space="preserve"> pada PRU berkembang melalui interaksi beberapa subsistem yang bekerja secara simultan, mulai dari kontrol tekanan, instrumentasi, </w:t>
      </w:r>
      <w:r w:rsidRPr="00EA526B">
        <w:rPr>
          <w:rFonts w:asciiTheme="majorBidi" w:hAnsiTheme="majorBidi" w:cstheme="majorBidi"/>
          <w:i/>
          <w:iCs/>
          <w:sz w:val="22"/>
          <w:szCs w:val="22"/>
        </w:rPr>
        <w:t>pressure protection system</w:t>
      </w:r>
      <w:r w:rsidRPr="00EA526B">
        <w:rPr>
          <w:rFonts w:asciiTheme="majorBidi" w:hAnsiTheme="majorBidi" w:cstheme="majorBidi"/>
          <w:sz w:val="22"/>
          <w:szCs w:val="22"/>
        </w:rPr>
        <w:t xml:space="preserve">, perpindahan panas, integritas perpipaan, hingga respon operator. Pada sistem proses bertekanan, satu kegagalan kecil pada transmitter, </w:t>
      </w:r>
      <w:r w:rsidRPr="00EA526B">
        <w:rPr>
          <w:rFonts w:asciiTheme="majorBidi" w:hAnsiTheme="majorBidi" w:cstheme="majorBidi"/>
          <w:i/>
          <w:iCs/>
          <w:sz w:val="22"/>
          <w:szCs w:val="22"/>
        </w:rPr>
        <w:t>valve</w:t>
      </w:r>
      <w:r w:rsidRPr="00EA526B">
        <w:rPr>
          <w:rFonts w:asciiTheme="majorBidi" w:hAnsiTheme="majorBidi" w:cstheme="majorBidi"/>
          <w:sz w:val="22"/>
          <w:szCs w:val="22"/>
        </w:rPr>
        <w:t xml:space="preserve">, atau </w:t>
      </w:r>
      <w:r w:rsidRPr="00EA526B">
        <w:rPr>
          <w:rFonts w:asciiTheme="majorBidi" w:hAnsiTheme="majorBidi" w:cstheme="majorBidi"/>
          <w:i/>
          <w:iCs/>
          <w:sz w:val="22"/>
          <w:szCs w:val="22"/>
        </w:rPr>
        <w:t>heat exchanger</w:t>
      </w:r>
      <w:r w:rsidRPr="00EA526B">
        <w:rPr>
          <w:rFonts w:asciiTheme="majorBidi" w:hAnsiTheme="majorBidi" w:cstheme="majorBidi"/>
          <w:sz w:val="22"/>
          <w:szCs w:val="22"/>
        </w:rPr>
        <w:t xml:space="preserve"> dapat mengubah kestabilan tekanan dan memicu kegagalan lanjutan apabila sistem proteksi tidak mendeteksi deviasi secara tepat waktu.</w:t>
      </w:r>
    </w:p>
    <w:p w14:paraId="4F7F3F11" w14:textId="77777777" w:rsidR="00EA526B" w:rsidRPr="00EA526B" w:rsidRDefault="00EA526B" w:rsidP="00EA526B">
      <w:pPr>
        <w:pStyle w:val="NormalWeb"/>
        <w:spacing w:before="0" w:beforeAutospacing="0" w:after="0" w:afterAutospacing="0"/>
        <w:ind w:firstLine="720"/>
        <w:jc w:val="both"/>
        <w:rPr>
          <w:rFonts w:asciiTheme="majorBidi" w:hAnsiTheme="majorBidi" w:cstheme="majorBidi"/>
          <w:sz w:val="22"/>
          <w:szCs w:val="22"/>
        </w:rPr>
      </w:pPr>
      <w:r w:rsidRPr="00EA526B">
        <w:rPr>
          <w:rFonts w:asciiTheme="majorBidi" w:hAnsiTheme="majorBidi" w:cstheme="majorBidi"/>
          <w:sz w:val="22"/>
          <w:szCs w:val="22"/>
        </w:rPr>
        <w:t xml:space="preserve">Penilaian </w:t>
      </w:r>
      <w:r w:rsidRPr="00EA526B">
        <w:rPr>
          <w:rFonts w:asciiTheme="majorBidi" w:hAnsiTheme="majorBidi" w:cstheme="majorBidi"/>
          <w:i/>
          <w:iCs/>
          <w:sz w:val="22"/>
          <w:szCs w:val="22"/>
        </w:rPr>
        <w:t>severity</w:t>
      </w:r>
      <w:r w:rsidRPr="00EA526B">
        <w:rPr>
          <w:rFonts w:asciiTheme="majorBidi" w:hAnsiTheme="majorBidi" w:cstheme="majorBidi"/>
          <w:sz w:val="22"/>
          <w:szCs w:val="22"/>
        </w:rPr>
        <w:t xml:space="preserve">, </w:t>
      </w:r>
      <w:r w:rsidRPr="00EA526B">
        <w:rPr>
          <w:rFonts w:asciiTheme="majorBidi" w:hAnsiTheme="majorBidi" w:cstheme="majorBidi"/>
          <w:i/>
          <w:iCs/>
          <w:sz w:val="22"/>
          <w:szCs w:val="22"/>
        </w:rPr>
        <w:t>occurrence</w:t>
      </w:r>
      <w:r w:rsidRPr="00EA526B">
        <w:rPr>
          <w:rFonts w:asciiTheme="majorBidi" w:hAnsiTheme="majorBidi" w:cstheme="majorBidi"/>
          <w:sz w:val="22"/>
          <w:szCs w:val="22"/>
        </w:rPr>
        <w:t xml:space="preserve">, dan </w:t>
      </w:r>
      <w:r w:rsidRPr="00EA526B">
        <w:rPr>
          <w:rFonts w:asciiTheme="majorBidi" w:hAnsiTheme="majorBidi" w:cstheme="majorBidi"/>
          <w:i/>
          <w:iCs/>
          <w:sz w:val="22"/>
          <w:szCs w:val="22"/>
        </w:rPr>
        <w:t>detection</w:t>
      </w:r>
      <w:r w:rsidRPr="00EA526B">
        <w:rPr>
          <w:rFonts w:asciiTheme="majorBidi" w:hAnsiTheme="majorBidi" w:cstheme="majorBidi"/>
          <w:sz w:val="22"/>
          <w:szCs w:val="22"/>
        </w:rPr>
        <w:t xml:space="preserve"> disusun untuk memastikan bahwa setiap mode kegagalan dinilai dari tiga sisi yang berbeda. </w:t>
      </w:r>
      <w:r w:rsidRPr="00EA526B">
        <w:rPr>
          <w:rFonts w:asciiTheme="majorBidi" w:hAnsiTheme="majorBidi" w:cstheme="majorBidi"/>
          <w:i/>
          <w:iCs/>
          <w:sz w:val="22"/>
          <w:szCs w:val="22"/>
        </w:rPr>
        <w:t>Severity</w:t>
      </w:r>
      <w:r w:rsidRPr="00EA526B">
        <w:rPr>
          <w:rFonts w:asciiTheme="majorBidi" w:hAnsiTheme="majorBidi" w:cstheme="majorBidi"/>
          <w:sz w:val="22"/>
          <w:szCs w:val="22"/>
        </w:rPr>
        <w:t xml:space="preserve"> digunakan untuk mengukur dampak kegagalan terhadap keselamatan proses, kerusakan peralatan, gangguan operasi, dan potensi kehilangan produk. </w:t>
      </w:r>
      <w:r w:rsidRPr="00EA526B">
        <w:rPr>
          <w:rFonts w:asciiTheme="majorBidi" w:hAnsiTheme="majorBidi" w:cstheme="majorBidi"/>
          <w:i/>
          <w:iCs/>
          <w:sz w:val="22"/>
          <w:szCs w:val="22"/>
        </w:rPr>
        <w:t>Occurrence</w:t>
      </w:r>
      <w:r w:rsidRPr="00EA526B">
        <w:rPr>
          <w:rFonts w:asciiTheme="majorBidi" w:hAnsiTheme="majorBidi" w:cstheme="majorBidi"/>
          <w:sz w:val="22"/>
          <w:szCs w:val="22"/>
        </w:rPr>
        <w:t xml:space="preserve"> digunakan untuk membaca kecenderungan kegagalan muncul berdasarkan histori gangguan, kondisi operasi, dan informasi teknis dari personel operasi maupun </w:t>
      </w:r>
      <w:r w:rsidRPr="00EA526B">
        <w:rPr>
          <w:rFonts w:asciiTheme="majorBidi" w:hAnsiTheme="majorBidi" w:cstheme="majorBidi"/>
          <w:i/>
          <w:iCs/>
          <w:sz w:val="22"/>
          <w:szCs w:val="22"/>
        </w:rPr>
        <w:t>maintenance</w:t>
      </w:r>
      <w:r w:rsidRPr="00EA526B">
        <w:rPr>
          <w:rFonts w:asciiTheme="majorBidi" w:hAnsiTheme="majorBidi" w:cstheme="majorBidi"/>
          <w:sz w:val="22"/>
          <w:szCs w:val="22"/>
        </w:rPr>
        <w:t xml:space="preserve">. </w:t>
      </w:r>
      <w:r w:rsidRPr="00EA526B">
        <w:rPr>
          <w:rFonts w:asciiTheme="majorBidi" w:hAnsiTheme="majorBidi" w:cstheme="majorBidi"/>
          <w:i/>
          <w:iCs/>
          <w:sz w:val="22"/>
          <w:szCs w:val="22"/>
        </w:rPr>
        <w:t>Detection</w:t>
      </w:r>
      <w:r w:rsidRPr="00EA526B">
        <w:rPr>
          <w:rFonts w:asciiTheme="majorBidi" w:hAnsiTheme="majorBidi" w:cstheme="majorBidi"/>
          <w:sz w:val="22"/>
          <w:szCs w:val="22"/>
        </w:rPr>
        <w:t xml:space="preserve"> digunakan untuk menilai kemampuan sistem kontrol, alarm, inspeksi, serta operator dalam mengenali kegagalan sebelum tekanan berkembang menjadi kondisi berbahaya. Dengan cara ini, </w:t>
      </w:r>
      <w:r w:rsidRPr="00EA526B">
        <w:rPr>
          <w:rFonts w:asciiTheme="majorBidi" w:hAnsiTheme="majorBidi" w:cstheme="majorBidi"/>
          <w:i/>
          <w:iCs/>
          <w:sz w:val="22"/>
          <w:szCs w:val="22"/>
        </w:rPr>
        <w:t>failure</w:t>
      </w:r>
      <w:r w:rsidRPr="00EA526B">
        <w:rPr>
          <w:rFonts w:asciiTheme="majorBidi" w:hAnsiTheme="majorBidi" w:cstheme="majorBidi"/>
          <w:sz w:val="22"/>
          <w:szCs w:val="22"/>
        </w:rPr>
        <w:t xml:space="preserve"> mode yang jarang terjadi tetap dapat menjadi prioritas apabila memiliki dampak besar dan kemampuan deteksi yang lemah.</w:t>
      </w:r>
    </w:p>
    <w:p w14:paraId="1477642C" w14:textId="4F1D4B1F" w:rsidR="00EA526B" w:rsidRPr="00EA526B" w:rsidRDefault="00EA526B" w:rsidP="007E6F61">
      <w:pPr>
        <w:pStyle w:val="NormalWeb"/>
        <w:spacing w:before="0" w:beforeAutospacing="0" w:after="0" w:afterAutospacing="0"/>
        <w:ind w:firstLine="720"/>
        <w:jc w:val="both"/>
        <w:rPr>
          <w:rFonts w:asciiTheme="majorBidi" w:hAnsiTheme="majorBidi" w:cstheme="majorBidi"/>
          <w:sz w:val="22"/>
          <w:szCs w:val="22"/>
        </w:rPr>
      </w:pPr>
      <w:r w:rsidRPr="00EA526B">
        <w:rPr>
          <w:rFonts w:asciiTheme="majorBidi" w:hAnsiTheme="majorBidi" w:cstheme="majorBidi"/>
          <w:sz w:val="22"/>
          <w:szCs w:val="22"/>
        </w:rPr>
        <w:t xml:space="preserve">RPN digunakan sebagai ukuran prioritas karena mampu menggabungkan dampak, peluang kejadian, dan kemampuan deteksi dalam satu nilai numerik. </w:t>
      </w:r>
      <w:r>
        <w:rPr>
          <w:rFonts w:asciiTheme="majorBidi" w:hAnsiTheme="majorBidi" w:cstheme="majorBidi"/>
          <w:sz w:val="22"/>
          <w:szCs w:val="22"/>
        </w:rPr>
        <w:t>P</w:t>
      </w:r>
      <w:r w:rsidRPr="00EA526B">
        <w:rPr>
          <w:rFonts w:asciiTheme="majorBidi" w:hAnsiTheme="majorBidi" w:cstheme="majorBidi"/>
          <w:sz w:val="22"/>
          <w:szCs w:val="22"/>
        </w:rPr>
        <w:t xml:space="preserve">enggunaan RPN membantu membedakan mode kegagalan yang tampak serupa tetapi memiliki tingkat risiko berbeda. </w:t>
      </w:r>
      <w:r w:rsidR="007E6F61">
        <w:rPr>
          <w:rFonts w:asciiTheme="majorBidi" w:hAnsiTheme="majorBidi" w:cstheme="majorBidi"/>
          <w:sz w:val="22"/>
          <w:szCs w:val="22"/>
        </w:rPr>
        <w:t>Seperti</w:t>
      </w:r>
      <w:r w:rsidRPr="00EA526B">
        <w:rPr>
          <w:rFonts w:asciiTheme="majorBidi" w:hAnsiTheme="majorBidi" w:cstheme="majorBidi"/>
          <w:sz w:val="22"/>
          <w:szCs w:val="22"/>
        </w:rPr>
        <w:t xml:space="preserve">, kegagalan PRV/PSV dan </w:t>
      </w:r>
      <w:r w:rsidRPr="007E6F61">
        <w:rPr>
          <w:rFonts w:asciiTheme="majorBidi" w:hAnsiTheme="majorBidi" w:cstheme="majorBidi"/>
          <w:i/>
          <w:sz w:val="22"/>
          <w:szCs w:val="22"/>
        </w:rPr>
        <w:t>pressure transmitter</w:t>
      </w:r>
      <w:r w:rsidRPr="00EA526B">
        <w:rPr>
          <w:rFonts w:asciiTheme="majorBidi" w:hAnsiTheme="majorBidi" w:cstheme="majorBidi"/>
          <w:sz w:val="22"/>
          <w:szCs w:val="22"/>
        </w:rPr>
        <w:t xml:space="preserve"> sama-sama berkaitan dengan pengendalian tekanan, tetapi keduanya memiliki karakter risiko yang berbeda. PRV/PSV berhubungan langsung dengan pelepasan tekanan lebih, sedangkan </w:t>
      </w:r>
      <w:r w:rsidRPr="007E6F61">
        <w:rPr>
          <w:rFonts w:asciiTheme="majorBidi" w:hAnsiTheme="majorBidi" w:cstheme="majorBidi"/>
          <w:i/>
          <w:iCs/>
          <w:sz w:val="22"/>
          <w:szCs w:val="22"/>
        </w:rPr>
        <w:t>pressure transmitter</w:t>
      </w:r>
      <w:r w:rsidRPr="00EA526B">
        <w:rPr>
          <w:rFonts w:asciiTheme="majorBidi" w:hAnsiTheme="majorBidi" w:cstheme="majorBidi"/>
          <w:sz w:val="22"/>
          <w:szCs w:val="22"/>
        </w:rPr>
        <w:t xml:space="preserve"> mempengaruhi kualitas sinyal yang diterima sistem kontrol. Perbedaan fungsi tersebut perlu di</w:t>
      </w:r>
      <w:r w:rsidR="007E6F61">
        <w:rPr>
          <w:rFonts w:asciiTheme="majorBidi" w:hAnsiTheme="majorBidi" w:cstheme="majorBidi"/>
          <w:sz w:val="22"/>
          <w:szCs w:val="22"/>
        </w:rPr>
        <w:t>representasikan</w:t>
      </w:r>
      <w:r w:rsidRPr="00EA526B">
        <w:rPr>
          <w:rFonts w:asciiTheme="majorBidi" w:hAnsiTheme="majorBidi" w:cstheme="majorBidi"/>
          <w:sz w:val="22"/>
          <w:szCs w:val="22"/>
        </w:rPr>
        <w:t xml:space="preserve"> dalam parameter FMEA agar prioritas mitigasi tidak disusun secara umum.</w:t>
      </w:r>
    </w:p>
    <w:p w14:paraId="7895DB97" w14:textId="0A902AE3" w:rsidR="00467989" w:rsidRPr="00033CD7" w:rsidRDefault="00EA526B" w:rsidP="007E6F61">
      <w:pPr>
        <w:pStyle w:val="NormalWeb"/>
        <w:spacing w:before="0" w:beforeAutospacing="0" w:after="0" w:afterAutospacing="0"/>
        <w:ind w:firstLine="720"/>
        <w:jc w:val="both"/>
        <w:rPr>
          <w:rFonts w:asciiTheme="majorBidi" w:hAnsiTheme="majorBidi" w:cstheme="majorBidi"/>
          <w:sz w:val="22"/>
          <w:szCs w:val="22"/>
        </w:rPr>
      </w:pPr>
      <w:r w:rsidRPr="00EA526B">
        <w:rPr>
          <w:rFonts w:asciiTheme="majorBidi" w:hAnsiTheme="majorBidi" w:cstheme="majorBidi"/>
          <w:sz w:val="22"/>
          <w:szCs w:val="22"/>
        </w:rPr>
        <w:t xml:space="preserve">Variabel penelitian kemudian dibagi menjadi variabel penyebab, variabel penilaian, dan variabel keluaran. Variabel penyebab menjelaskan sumber kegagalan teknis atau operasional. Variabel penilaian digunakan untuk menghitung tingkat risiko melalui </w:t>
      </w:r>
      <w:r w:rsidRPr="007E6F61">
        <w:rPr>
          <w:rFonts w:asciiTheme="majorBidi" w:hAnsiTheme="majorBidi" w:cstheme="majorBidi"/>
          <w:i/>
          <w:iCs/>
          <w:sz w:val="22"/>
          <w:szCs w:val="22"/>
        </w:rPr>
        <w:t>severity</w:t>
      </w:r>
      <w:r w:rsidRPr="00EA526B">
        <w:rPr>
          <w:rFonts w:asciiTheme="majorBidi" w:hAnsiTheme="majorBidi" w:cstheme="majorBidi"/>
          <w:sz w:val="22"/>
          <w:szCs w:val="22"/>
        </w:rPr>
        <w:t xml:space="preserve">, </w:t>
      </w:r>
      <w:r w:rsidRPr="007E6F61">
        <w:rPr>
          <w:rFonts w:asciiTheme="majorBidi" w:hAnsiTheme="majorBidi" w:cstheme="majorBidi"/>
          <w:i/>
          <w:iCs/>
          <w:sz w:val="22"/>
          <w:szCs w:val="22"/>
        </w:rPr>
        <w:t>occurrence</w:t>
      </w:r>
      <w:r w:rsidRPr="00EA526B">
        <w:rPr>
          <w:rFonts w:asciiTheme="majorBidi" w:hAnsiTheme="majorBidi" w:cstheme="majorBidi"/>
          <w:sz w:val="22"/>
          <w:szCs w:val="22"/>
        </w:rPr>
        <w:t xml:space="preserve">, dan </w:t>
      </w:r>
      <w:r w:rsidRPr="007E6F61">
        <w:rPr>
          <w:rFonts w:asciiTheme="majorBidi" w:hAnsiTheme="majorBidi" w:cstheme="majorBidi"/>
          <w:i/>
          <w:iCs/>
          <w:sz w:val="22"/>
          <w:szCs w:val="22"/>
        </w:rPr>
        <w:t>detection</w:t>
      </w:r>
      <w:r w:rsidRPr="00EA526B">
        <w:rPr>
          <w:rFonts w:asciiTheme="majorBidi" w:hAnsiTheme="majorBidi" w:cstheme="majorBidi"/>
          <w:sz w:val="22"/>
          <w:szCs w:val="22"/>
        </w:rPr>
        <w:t xml:space="preserve">. Variabel keluaran menunjukkan hasil akhir analisis berupa RPN, kategori risiko, urutan prioritas, dan rekomendasi mitigasi. Pembagian ini menjaga konsistensi antara tujuan penelitian, metode, dan hasil yang akan dibahas. </w:t>
      </w:r>
      <w:r w:rsidR="007E6F61">
        <w:rPr>
          <w:rFonts w:asciiTheme="majorBidi" w:hAnsiTheme="majorBidi" w:cstheme="majorBidi"/>
          <w:sz w:val="22"/>
          <w:szCs w:val="22"/>
        </w:rPr>
        <w:t>H</w:t>
      </w:r>
      <w:r w:rsidRPr="00EA526B">
        <w:rPr>
          <w:rFonts w:asciiTheme="majorBidi" w:hAnsiTheme="majorBidi" w:cstheme="majorBidi"/>
          <w:sz w:val="22"/>
          <w:szCs w:val="22"/>
        </w:rPr>
        <w:t>asil FMEA tidak berhenti sebagai daftar kegagalan, tetapi menjadi dasar teknis untuk menentukan mode kegagalan yang perlu ditangani lebih awal. Variabel dan parameter penilaian yang digunakan dalam</w:t>
      </w:r>
      <w:r w:rsidR="00467989" w:rsidRPr="00033CD7">
        <w:rPr>
          <w:rFonts w:asciiTheme="majorBidi" w:hAnsiTheme="majorBidi" w:cstheme="majorBidi"/>
          <w:sz w:val="22"/>
          <w:szCs w:val="22"/>
        </w:rPr>
        <w:t xml:space="preserve">Berikut </w:t>
      </w:r>
      <w:r w:rsidR="00033CD7" w:rsidRPr="00033CD7">
        <w:rPr>
          <w:rFonts w:asciiTheme="majorBidi" w:hAnsiTheme="majorBidi" w:cstheme="majorBidi"/>
          <w:sz w:val="22"/>
          <w:szCs w:val="22"/>
        </w:rPr>
        <w:t>adalah penjelasan variabel dan parameter penilaian FMEA :</w:t>
      </w:r>
    </w:p>
    <w:p w14:paraId="452AA367" w14:textId="77777777" w:rsidR="00033CD7" w:rsidRDefault="00033CD7" w:rsidP="00467989">
      <w:pPr>
        <w:pStyle w:val="NormalWeb"/>
        <w:spacing w:before="0" w:beforeAutospacing="0" w:after="0" w:afterAutospacing="0"/>
        <w:ind w:firstLine="720"/>
        <w:jc w:val="both"/>
      </w:pPr>
    </w:p>
    <w:p w14:paraId="00941636" w14:textId="77777777" w:rsidR="00033CD7" w:rsidRPr="00033CD7" w:rsidRDefault="00033CD7" w:rsidP="00033CD7">
      <w:pPr>
        <w:pStyle w:val="Heading3"/>
        <w:jc w:val="center"/>
        <w:rPr>
          <w:b/>
          <w:bCs/>
          <w:sz w:val="22"/>
          <w:szCs w:val="22"/>
        </w:rPr>
      </w:pPr>
      <w:r w:rsidRPr="00033CD7">
        <w:rPr>
          <w:b/>
          <w:bCs/>
          <w:sz w:val="22"/>
          <w:szCs w:val="22"/>
        </w:rPr>
        <w:lastRenderedPageBreak/>
        <w:t>Tabel 1. Variabel dan Parameter Penilaian FMEA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0"/>
        <w:gridCol w:w="1833"/>
        <w:gridCol w:w="1699"/>
        <w:gridCol w:w="1919"/>
        <w:gridCol w:w="1700"/>
      </w:tblGrid>
      <w:tr w:rsidR="00467989" w:rsidRPr="003417AF" w14:paraId="57730D8C" w14:textId="77777777" w:rsidTr="003417AF">
        <w:trPr>
          <w:tblHeader/>
        </w:trPr>
        <w:tc>
          <w:tcPr>
            <w:tcW w:w="1058" w:type="pct"/>
            <w:tcBorders>
              <w:top w:val="single" w:sz="4" w:space="0" w:color="auto"/>
              <w:bottom w:val="single" w:sz="4" w:space="0" w:color="auto"/>
            </w:tcBorders>
            <w:vAlign w:val="center"/>
          </w:tcPr>
          <w:p w14:paraId="79EAF7C0" w14:textId="25896430" w:rsidR="00467989" w:rsidRPr="003417AF" w:rsidRDefault="00467989" w:rsidP="00033CD7">
            <w:pPr>
              <w:pStyle w:val="NormalWeb"/>
              <w:spacing w:before="0" w:beforeAutospacing="0" w:after="0" w:afterAutospacing="0"/>
              <w:jc w:val="center"/>
              <w:rPr>
                <w:rFonts w:asciiTheme="majorBidi" w:hAnsiTheme="majorBidi" w:cstheme="majorBidi"/>
                <w:sz w:val="20"/>
                <w:szCs w:val="20"/>
              </w:rPr>
            </w:pPr>
            <w:r w:rsidRPr="003417AF">
              <w:rPr>
                <w:rFonts w:asciiTheme="majorBidi" w:hAnsiTheme="majorBidi" w:cstheme="majorBidi"/>
                <w:b/>
                <w:bCs/>
                <w:sz w:val="20"/>
                <w:szCs w:val="20"/>
              </w:rPr>
              <w:t>Variabel</w:t>
            </w:r>
          </w:p>
        </w:tc>
        <w:tc>
          <w:tcPr>
            <w:tcW w:w="1010" w:type="pct"/>
            <w:tcBorders>
              <w:top w:val="single" w:sz="4" w:space="0" w:color="auto"/>
              <w:bottom w:val="single" w:sz="4" w:space="0" w:color="auto"/>
            </w:tcBorders>
            <w:vAlign w:val="center"/>
          </w:tcPr>
          <w:p w14:paraId="462F8BF7" w14:textId="22D53C36" w:rsidR="00467989" w:rsidRPr="003417AF" w:rsidRDefault="00467989" w:rsidP="00033CD7">
            <w:pPr>
              <w:pStyle w:val="NormalWeb"/>
              <w:spacing w:before="0" w:beforeAutospacing="0" w:after="0" w:afterAutospacing="0"/>
              <w:jc w:val="center"/>
              <w:rPr>
                <w:rFonts w:asciiTheme="majorBidi" w:hAnsiTheme="majorBidi" w:cstheme="majorBidi"/>
                <w:sz w:val="20"/>
                <w:szCs w:val="20"/>
              </w:rPr>
            </w:pPr>
            <w:r w:rsidRPr="003417AF">
              <w:rPr>
                <w:rFonts w:asciiTheme="majorBidi" w:hAnsiTheme="majorBidi" w:cstheme="majorBidi"/>
                <w:b/>
                <w:bCs/>
                <w:sz w:val="20"/>
                <w:szCs w:val="20"/>
              </w:rPr>
              <w:t>Parameter</w:t>
            </w:r>
          </w:p>
        </w:tc>
        <w:tc>
          <w:tcPr>
            <w:tcW w:w="936" w:type="pct"/>
            <w:tcBorders>
              <w:top w:val="single" w:sz="4" w:space="0" w:color="auto"/>
              <w:bottom w:val="single" w:sz="4" w:space="0" w:color="auto"/>
            </w:tcBorders>
            <w:vAlign w:val="center"/>
          </w:tcPr>
          <w:p w14:paraId="29196F74" w14:textId="6973B4FD" w:rsidR="00467989" w:rsidRPr="003417AF" w:rsidRDefault="00467989" w:rsidP="00033CD7">
            <w:pPr>
              <w:pStyle w:val="NormalWeb"/>
              <w:spacing w:before="0" w:beforeAutospacing="0" w:after="0" w:afterAutospacing="0"/>
              <w:jc w:val="center"/>
              <w:rPr>
                <w:rFonts w:asciiTheme="majorBidi" w:hAnsiTheme="majorBidi" w:cstheme="majorBidi"/>
                <w:sz w:val="20"/>
                <w:szCs w:val="20"/>
              </w:rPr>
            </w:pPr>
            <w:r w:rsidRPr="003417AF">
              <w:rPr>
                <w:rFonts w:asciiTheme="majorBidi" w:hAnsiTheme="majorBidi" w:cstheme="majorBidi"/>
                <w:b/>
                <w:bCs/>
                <w:sz w:val="20"/>
                <w:szCs w:val="20"/>
              </w:rPr>
              <w:t>Definisi Operasional</w:t>
            </w:r>
          </w:p>
        </w:tc>
        <w:tc>
          <w:tcPr>
            <w:tcW w:w="1058" w:type="pct"/>
            <w:tcBorders>
              <w:top w:val="single" w:sz="4" w:space="0" w:color="auto"/>
              <w:bottom w:val="single" w:sz="4" w:space="0" w:color="auto"/>
            </w:tcBorders>
            <w:vAlign w:val="center"/>
          </w:tcPr>
          <w:p w14:paraId="4FD57E1F" w14:textId="16F331CB" w:rsidR="00467989" w:rsidRPr="003417AF" w:rsidRDefault="00467989" w:rsidP="00033CD7">
            <w:pPr>
              <w:pStyle w:val="NormalWeb"/>
              <w:spacing w:before="0" w:beforeAutospacing="0" w:after="0" w:afterAutospacing="0"/>
              <w:jc w:val="center"/>
              <w:rPr>
                <w:rFonts w:asciiTheme="majorBidi" w:hAnsiTheme="majorBidi" w:cstheme="majorBidi"/>
                <w:sz w:val="20"/>
                <w:szCs w:val="20"/>
              </w:rPr>
            </w:pPr>
            <w:r w:rsidRPr="003417AF">
              <w:rPr>
                <w:rFonts w:asciiTheme="majorBidi" w:hAnsiTheme="majorBidi" w:cstheme="majorBidi"/>
                <w:b/>
                <w:bCs/>
                <w:sz w:val="20"/>
                <w:szCs w:val="20"/>
              </w:rPr>
              <w:t>Skala Penilaian</w:t>
            </w:r>
          </w:p>
        </w:tc>
        <w:tc>
          <w:tcPr>
            <w:tcW w:w="937" w:type="pct"/>
            <w:tcBorders>
              <w:top w:val="single" w:sz="4" w:space="0" w:color="auto"/>
              <w:bottom w:val="single" w:sz="4" w:space="0" w:color="auto"/>
            </w:tcBorders>
            <w:vAlign w:val="center"/>
          </w:tcPr>
          <w:p w14:paraId="4C5441F4" w14:textId="0AC9F119" w:rsidR="00467989" w:rsidRPr="003417AF" w:rsidRDefault="00467989" w:rsidP="00033CD7">
            <w:pPr>
              <w:pStyle w:val="NormalWeb"/>
              <w:spacing w:before="0" w:beforeAutospacing="0" w:after="0" w:afterAutospacing="0"/>
              <w:jc w:val="center"/>
              <w:rPr>
                <w:rFonts w:asciiTheme="majorBidi" w:hAnsiTheme="majorBidi" w:cstheme="majorBidi"/>
                <w:sz w:val="20"/>
                <w:szCs w:val="20"/>
              </w:rPr>
            </w:pPr>
            <w:r w:rsidRPr="003417AF">
              <w:rPr>
                <w:rFonts w:asciiTheme="majorBidi" w:hAnsiTheme="majorBidi" w:cstheme="majorBidi"/>
                <w:b/>
                <w:bCs/>
                <w:sz w:val="20"/>
                <w:szCs w:val="20"/>
              </w:rPr>
              <w:t>Sumber Data</w:t>
            </w:r>
          </w:p>
        </w:tc>
      </w:tr>
      <w:tr w:rsidR="00467989" w:rsidRPr="003417AF" w14:paraId="0B33202D" w14:textId="77777777" w:rsidTr="003417AF">
        <w:tc>
          <w:tcPr>
            <w:tcW w:w="1058" w:type="pct"/>
            <w:tcBorders>
              <w:top w:val="single" w:sz="4" w:space="0" w:color="auto"/>
            </w:tcBorders>
            <w:vAlign w:val="center"/>
          </w:tcPr>
          <w:p w14:paraId="73DBA0E1" w14:textId="0032EFFA"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i/>
                <w:iCs/>
                <w:sz w:val="20"/>
                <w:szCs w:val="20"/>
              </w:rPr>
              <w:t xml:space="preserve">Failure </w:t>
            </w:r>
            <w:r w:rsidRPr="003417AF">
              <w:rPr>
                <w:rFonts w:asciiTheme="majorBidi" w:hAnsiTheme="majorBidi" w:cstheme="majorBidi"/>
                <w:sz w:val="20"/>
                <w:szCs w:val="20"/>
              </w:rPr>
              <w:t>mode</w:t>
            </w:r>
          </w:p>
        </w:tc>
        <w:tc>
          <w:tcPr>
            <w:tcW w:w="1010" w:type="pct"/>
            <w:tcBorders>
              <w:top w:val="single" w:sz="4" w:space="0" w:color="auto"/>
            </w:tcBorders>
            <w:vAlign w:val="center"/>
          </w:tcPr>
          <w:p w14:paraId="4BB7BC97" w14:textId="3D2CFD85"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Mode kegagalan</w:t>
            </w:r>
          </w:p>
        </w:tc>
        <w:tc>
          <w:tcPr>
            <w:tcW w:w="936" w:type="pct"/>
            <w:tcBorders>
              <w:top w:val="single" w:sz="4" w:space="0" w:color="auto"/>
            </w:tcBorders>
            <w:vAlign w:val="center"/>
          </w:tcPr>
          <w:p w14:paraId="62CAD993" w14:textId="0206BDE6"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Bentuk kegagalan yang berpotensi menyebabkan kondisi overpressure pada PRU</w:t>
            </w:r>
          </w:p>
        </w:tc>
        <w:tc>
          <w:tcPr>
            <w:tcW w:w="1058" w:type="pct"/>
            <w:tcBorders>
              <w:top w:val="single" w:sz="4" w:space="0" w:color="auto"/>
            </w:tcBorders>
            <w:vAlign w:val="center"/>
          </w:tcPr>
          <w:p w14:paraId="1B09CBC0" w14:textId="57AFD59A"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Deskriptif</w:t>
            </w:r>
          </w:p>
        </w:tc>
        <w:tc>
          <w:tcPr>
            <w:tcW w:w="937" w:type="pct"/>
            <w:tcBorders>
              <w:top w:val="single" w:sz="4" w:space="0" w:color="auto"/>
            </w:tcBorders>
            <w:vAlign w:val="center"/>
          </w:tcPr>
          <w:p w14:paraId="61DA3514" w14:textId="0FA265DE"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Observasi, histori gangguan, diskusi teknis</w:t>
            </w:r>
          </w:p>
        </w:tc>
      </w:tr>
      <w:tr w:rsidR="00467989" w:rsidRPr="003417AF" w14:paraId="4E9E5165" w14:textId="77777777" w:rsidTr="003417AF">
        <w:tc>
          <w:tcPr>
            <w:tcW w:w="1058" w:type="pct"/>
            <w:vAlign w:val="center"/>
          </w:tcPr>
          <w:p w14:paraId="43662501" w14:textId="642AB5DC"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Penyebab kegagalan</w:t>
            </w:r>
          </w:p>
        </w:tc>
        <w:tc>
          <w:tcPr>
            <w:tcW w:w="1010" w:type="pct"/>
            <w:vAlign w:val="center"/>
          </w:tcPr>
          <w:p w14:paraId="40A67C38" w14:textId="558FAC4F"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Penyebab potensial</w:t>
            </w:r>
          </w:p>
        </w:tc>
        <w:tc>
          <w:tcPr>
            <w:tcW w:w="936" w:type="pct"/>
            <w:vAlign w:val="center"/>
          </w:tcPr>
          <w:p w14:paraId="4DF8368D" w14:textId="03D2486A"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Faktor teknis atau operasional yang memicu kegagalan sistem</w:t>
            </w:r>
          </w:p>
        </w:tc>
        <w:tc>
          <w:tcPr>
            <w:tcW w:w="1058" w:type="pct"/>
            <w:vAlign w:val="center"/>
          </w:tcPr>
          <w:p w14:paraId="4651A0A1" w14:textId="3530CBB2"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Deskriptif</w:t>
            </w:r>
          </w:p>
        </w:tc>
        <w:tc>
          <w:tcPr>
            <w:tcW w:w="937" w:type="pct"/>
            <w:vAlign w:val="center"/>
          </w:tcPr>
          <w:p w14:paraId="448C1F6C" w14:textId="2C03468E"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Dokumen operasi, inspeksi, wawancara</w:t>
            </w:r>
          </w:p>
        </w:tc>
      </w:tr>
      <w:tr w:rsidR="00467989" w:rsidRPr="003417AF" w14:paraId="43B83111" w14:textId="77777777" w:rsidTr="003417AF">
        <w:tc>
          <w:tcPr>
            <w:tcW w:w="1058" w:type="pct"/>
            <w:vAlign w:val="center"/>
          </w:tcPr>
          <w:p w14:paraId="2AA55D65" w14:textId="14B675BA"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Dampak kegagalan</w:t>
            </w:r>
          </w:p>
        </w:tc>
        <w:tc>
          <w:tcPr>
            <w:tcW w:w="1010" w:type="pct"/>
            <w:vAlign w:val="center"/>
          </w:tcPr>
          <w:p w14:paraId="24FCAD08" w14:textId="36CF26A1"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Efek sistem</w:t>
            </w:r>
          </w:p>
        </w:tc>
        <w:tc>
          <w:tcPr>
            <w:tcW w:w="936" w:type="pct"/>
            <w:vAlign w:val="center"/>
          </w:tcPr>
          <w:p w14:paraId="0C86CE5F" w14:textId="4409C1F5"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Konsekuensi kegagalan terhadap tekanan, keselamatan proses, operasi, dan peralatan</w:t>
            </w:r>
          </w:p>
        </w:tc>
        <w:tc>
          <w:tcPr>
            <w:tcW w:w="1058" w:type="pct"/>
            <w:vAlign w:val="center"/>
          </w:tcPr>
          <w:p w14:paraId="2AA7CA69" w14:textId="4562BB2E"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Deskriptif</w:t>
            </w:r>
          </w:p>
        </w:tc>
        <w:tc>
          <w:tcPr>
            <w:tcW w:w="937" w:type="pct"/>
            <w:vAlign w:val="center"/>
          </w:tcPr>
          <w:p w14:paraId="020CE4F5" w14:textId="77B3B21E"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Observasi proses dan literatur teknis</w:t>
            </w:r>
          </w:p>
        </w:tc>
      </w:tr>
      <w:tr w:rsidR="00467989" w:rsidRPr="003417AF" w14:paraId="58DBFCE4" w14:textId="77777777" w:rsidTr="003417AF">
        <w:tc>
          <w:tcPr>
            <w:tcW w:w="1058" w:type="pct"/>
            <w:vAlign w:val="center"/>
          </w:tcPr>
          <w:p w14:paraId="0C3F3D83" w14:textId="43C52401"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i/>
                <w:iCs/>
                <w:sz w:val="20"/>
                <w:szCs w:val="20"/>
              </w:rPr>
              <w:t xml:space="preserve">Severity </w:t>
            </w:r>
            <w:r w:rsidRPr="003417AF">
              <w:rPr>
                <w:rFonts w:asciiTheme="majorBidi" w:hAnsiTheme="majorBidi" w:cstheme="majorBidi"/>
                <w:sz w:val="20"/>
                <w:szCs w:val="20"/>
              </w:rPr>
              <w:t>(S)</w:t>
            </w:r>
          </w:p>
        </w:tc>
        <w:tc>
          <w:tcPr>
            <w:tcW w:w="1010" w:type="pct"/>
            <w:vAlign w:val="center"/>
          </w:tcPr>
          <w:p w14:paraId="71277705" w14:textId="7D0324FC"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Tingkat keparahan</w:t>
            </w:r>
          </w:p>
        </w:tc>
        <w:tc>
          <w:tcPr>
            <w:tcW w:w="936" w:type="pct"/>
            <w:vAlign w:val="center"/>
          </w:tcPr>
          <w:p w14:paraId="120DF002" w14:textId="7CAEC397"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Tingkat dampak kegagalan terhadap keselamatan proses, stabilitas operasi, dan kerusakan peralatan</w:t>
            </w:r>
          </w:p>
        </w:tc>
        <w:tc>
          <w:tcPr>
            <w:tcW w:w="1058" w:type="pct"/>
            <w:vAlign w:val="center"/>
          </w:tcPr>
          <w:p w14:paraId="3BBD3380" w14:textId="5792755C"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1–10</w:t>
            </w:r>
          </w:p>
        </w:tc>
        <w:tc>
          <w:tcPr>
            <w:tcW w:w="937" w:type="pct"/>
            <w:vAlign w:val="center"/>
          </w:tcPr>
          <w:p w14:paraId="646D86DF" w14:textId="28AD2DDA"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Penilaian ahli dan referensi FMEA</w:t>
            </w:r>
          </w:p>
        </w:tc>
      </w:tr>
      <w:tr w:rsidR="00467989" w:rsidRPr="003417AF" w14:paraId="5EBD743B" w14:textId="77777777" w:rsidTr="003417AF">
        <w:tc>
          <w:tcPr>
            <w:tcW w:w="1058" w:type="pct"/>
            <w:tcBorders>
              <w:bottom w:val="single" w:sz="4" w:space="0" w:color="auto"/>
            </w:tcBorders>
            <w:vAlign w:val="center"/>
          </w:tcPr>
          <w:p w14:paraId="0A81958B" w14:textId="16C4DF76"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i/>
                <w:iCs/>
                <w:sz w:val="20"/>
                <w:szCs w:val="20"/>
              </w:rPr>
              <w:t>Occurrence</w:t>
            </w:r>
            <w:r w:rsidRPr="003417AF">
              <w:rPr>
                <w:rFonts w:asciiTheme="majorBidi" w:hAnsiTheme="majorBidi" w:cstheme="majorBidi"/>
                <w:sz w:val="20"/>
                <w:szCs w:val="20"/>
              </w:rPr>
              <w:t xml:space="preserve"> (O)</w:t>
            </w:r>
          </w:p>
        </w:tc>
        <w:tc>
          <w:tcPr>
            <w:tcW w:w="1010" w:type="pct"/>
            <w:tcBorders>
              <w:bottom w:val="single" w:sz="4" w:space="0" w:color="auto"/>
            </w:tcBorders>
            <w:vAlign w:val="center"/>
          </w:tcPr>
          <w:p w14:paraId="28529963" w14:textId="19BD6E7D"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Tingkat kejadian</w:t>
            </w:r>
          </w:p>
        </w:tc>
        <w:tc>
          <w:tcPr>
            <w:tcW w:w="936" w:type="pct"/>
            <w:tcBorders>
              <w:bottom w:val="single" w:sz="4" w:space="0" w:color="auto"/>
            </w:tcBorders>
            <w:vAlign w:val="center"/>
          </w:tcPr>
          <w:p w14:paraId="03D34508" w14:textId="134462DE"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Kemungkinan atau frekuensi kegagalan terjadi selama operasi</w:t>
            </w:r>
          </w:p>
        </w:tc>
        <w:tc>
          <w:tcPr>
            <w:tcW w:w="1058" w:type="pct"/>
            <w:tcBorders>
              <w:bottom w:val="single" w:sz="4" w:space="0" w:color="auto"/>
            </w:tcBorders>
            <w:vAlign w:val="center"/>
          </w:tcPr>
          <w:p w14:paraId="5B0C041E" w14:textId="41918DA1"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1–10</w:t>
            </w:r>
          </w:p>
        </w:tc>
        <w:tc>
          <w:tcPr>
            <w:tcW w:w="937" w:type="pct"/>
            <w:tcBorders>
              <w:bottom w:val="single" w:sz="4" w:space="0" w:color="auto"/>
            </w:tcBorders>
            <w:vAlign w:val="center"/>
          </w:tcPr>
          <w:p w14:paraId="7706E649" w14:textId="07F32F0F"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Histori gangguan dan observasi operasi</w:t>
            </w:r>
          </w:p>
        </w:tc>
      </w:tr>
      <w:tr w:rsidR="00467989" w:rsidRPr="003417AF" w14:paraId="0CBE2F5C" w14:textId="77777777" w:rsidTr="003417AF">
        <w:tc>
          <w:tcPr>
            <w:tcW w:w="1058" w:type="pct"/>
            <w:tcBorders>
              <w:top w:val="single" w:sz="4" w:space="0" w:color="auto"/>
            </w:tcBorders>
            <w:vAlign w:val="center"/>
          </w:tcPr>
          <w:p w14:paraId="2520E310" w14:textId="17611690"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i/>
                <w:iCs/>
                <w:sz w:val="20"/>
                <w:szCs w:val="20"/>
              </w:rPr>
              <w:t>Detection</w:t>
            </w:r>
            <w:r w:rsidRPr="003417AF">
              <w:rPr>
                <w:rFonts w:asciiTheme="majorBidi" w:hAnsiTheme="majorBidi" w:cstheme="majorBidi"/>
                <w:sz w:val="20"/>
                <w:szCs w:val="20"/>
              </w:rPr>
              <w:t xml:space="preserve"> (D)</w:t>
            </w:r>
          </w:p>
        </w:tc>
        <w:tc>
          <w:tcPr>
            <w:tcW w:w="1010" w:type="pct"/>
            <w:tcBorders>
              <w:top w:val="single" w:sz="4" w:space="0" w:color="auto"/>
            </w:tcBorders>
            <w:vAlign w:val="center"/>
          </w:tcPr>
          <w:p w14:paraId="79B3984D" w14:textId="02AB4A10"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Kemampuan deteksi</w:t>
            </w:r>
          </w:p>
        </w:tc>
        <w:tc>
          <w:tcPr>
            <w:tcW w:w="936" w:type="pct"/>
            <w:tcBorders>
              <w:top w:val="single" w:sz="4" w:space="0" w:color="auto"/>
            </w:tcBorders>
            <w:vAlign w:val="center"/>
          </w:tcPr>
          <w:p w14:paraId="79E6CAB7" w14:textId="004500B0"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Kemampuan sistem kontrol, alarm, inspeksi, dan operator dalam mendeteksi kegagalan</w:t>
            </w:r>
          </w:p>
        </w:tc>
        <w:tc>
          <w:tcPr>
            <w:tcW w:w="1058" w:type="pct"/>
            <w:tcBorders>
              <w:top w:val="single" w:sz="4" w:space="0" w:color="auto"/>
            </w:tcBorders>
            <w:vAlign w:val="center"/>
          </w:tcPr>
          <w:p w14:paraId="25FBBB5A" w14:textId="72380E3E"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1–10</w:t>
            </w:r>
          </w:p>
        </w:tc>
        <w:tc>
          <w:tcPr>
            <w:tcW w:w="937" w:type="pct"/>
            <w:tcBorders>
              <w:top w:val="single" w:sz="4" w:space="0" w:color="auto"/>
            </w:tcBorders>
            <w:vAlign w:val="center"/>
          </w:tcPr>
          <w:p w14:paraId="454F42B0" w14:textId="6B875B19"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Sistem monitoring dan evaluasi operasi</w:t>
            </w:r>
          </w:p>
        </w:tc>
      </w:tr>
      <w:tr w:rsidR="00467989" w:rsidRPr="003417AF" w14:paraId="17B0DDB7" w14:textId="77777777" w:rsidTr="003417AF">
        <w:tc>
          <w:tcPr>
            <w:tcW w:w="1058" w:type="pct"/>
            <w:vAlign w:val="center"/>
          </w:tcPr>
          <w:p w14:paraId="772B9298" w14:textId="42BEC465"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i/>
                <w:iCs/>
                <w:sz w:val="20"/>
                <w:szCs w:val="20"/>
              </w:rPr>
              <w:t>Risk Priority Number</w:t>
            </w:r>
            <w:r w:rsidRPr="003417AF">
              <w:rPr>
                <w:rFonts w:asciiTheme="majorBidi" w:hAnsiTheme="majorBidi" w:cstheme="majorBidi"/>
                <w:sz w:val="20"/>
                <w:szCs w:val="20"/>
              </w:rPr>
              <w:t xml:space="preserve"> (RPN)</w:t>
            </w:r>
          </w:p>
        </w:tc>
        <w:tc>
          <w:tcPr>
            <w:tcW w:w="1010" w:type="pct"/>
            <w:vAlign w:val="center"/>
          </w:tcPr>
          <w:p w14:paraId="5DA3B792" w14:textId="2B812957"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Nilai risiko</w:t>
            </w:r>
          </w:p>
        </w:tc>
        <w:tc>
          <w:tcPr>
            <w:tcW w:w="936" w:type="pct"/>
            <w:vAlign w:val="center"/>
          </w:tcPr>
          <w:p w14:paraId="6CC63AAC" w14:textId="151BAF7F"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 xml:space="preserve">Hasil perkalian </w:t>
            </w:r>
            <w:r w:rsidRPr="003417AF">
              <w:rPr>
                <w:rFonts w:asciiTheme="majorBidi" w:hAnsiTheme="majorBidi" w:cstheme="majorBidi"/>
                <w:i/>
                <w:iCs/>
                <w:sz w:val="20"/>
                <w:szCs w:val="20"/>
              </w:rPr>
              <w:t>severity</w:t>
            </w:r>
            <w:r w:rsidRPr="003417AF">
              <w:rPr>
                <w:rFonts w:asciiTheme="majorBidi" w:hAnsiTheme="majorBidi" w:cstheme="majorBidi"/>
                <w:sz w:val="20"/>
                <w:szCs w:val="20"/>
              </w:rPr>
              <w:t xml:space="preserve">, </w:t>
            </w:r>
            <w:r w:rsidRPr="003417AF">
              <w:rPr>
                <w:rFonts w:asciiTheme="majorBidi" w:hAnsiTheme="majorBidi" w:cstheme="majorBidi"/>
                <w:i/>
                <w:iCs/>
                <w:sz w:val="20"/>
                <w:szCs w:val="20"/>
              </w:rPr>
              <w:t>occurrence</w:t>
            </w:r>
            <w:r w:rsidRPr="003417AF">
              <w:rPr>
                <w:rFonts w:asciiTheme="majorBidi" w:hAnsiTheme="majorBidi" w:cstheme="majorBidi"/>
                <w:sz w:val="20"/>
                <w:szCs w:val="20"/>
              </w:rPr>
              <w:t xml:space="preserve">, dan </w:t>
            </w:r>
            <w:r w:rsidRPr="003417AF">
              <w:rPr>
                <w:rFonts w:asciiTheme="majorBidi" w:hAnsiTheme="majorBidi" w:cstheme="majorBidi"/>
                <w:i/>
                <w:iCs/>
                <w:sz w:val="20"/>
                <w:szCs w:val="20"/>
              </w:rPr>
              <w:t>detection</w:t>
            </w:r>
          </w:p>
        </w:tc>
        <w:tc>
          <w:tcPr>
            <w:tcW w:w="1058" w:type="pct"/>
            <w:vAlign w:val="center"/>
          </w:tcPr>
          <w:p w14:paraId="0BC5C223" w14:textId="62285A26"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1–1000</w:t>
            </w:r>
          </w:p>
        </w:tc>
        <w:tc>
          <w:tcPr>
            <w:tcW w:w="937" w:type="pct"/>
            <w:vAlign w:val="center"/>
          </w:tcPr>
          <w:p w14:paraId="3CB570B0" w14:textId="41175ACB"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Perhitungan FMEA</w:t>
            </w:r>
          </w:p>
        </w:tc>
      </w:tr>
      <w:tr w:rsidR="00467989" w:rsidRPr="003417AF" w14:paraId="5C1C5FE5" w14:textId="77777777" w:rsidTr="003417AF">
        <w:tc>
          <w:tcPr>
            <w:tcW w:w="1058" w:type="pct"/>
            <w:vAlign w:val="center"/>
          </w:tcPr>
          <w:p w14:paraId="77367DC9" w14:textId="3802E24E"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Kategori risiko</w:t>
            </w:r>
          </w:p>
        </w:tc>
        <w:tc>
          <w:tcPr>
            <w:tcW w:w="1010" w:type="pct"/>
            <w:vAlign w:val="center"/>
          </w:tcPr>
          <w:p w14:paraId="00846CBA" w14:textId="61B0ABE4"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Tingkat prioritas</w:t>
            </w:r>
          </w:p>
        </w:tc>
        <w:tc>
          <w:tcPr>
            <w:tcW w:w="936" w:type="pct"/>
            <w:vAlign w:val="center"/>
          </w:tcPr>
          <w:p w14:paraId="734BD3D7" w14:textId="51BF36B3"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Klasifikasi tingkat risiko berdasarkan interval nilai RPN</w:t>
            </w:r>
          </w:p>
        </w:tc>
        <w:tc>
          <w:tcPr>
            <w:tcW w:w="1058" w:type="pct"/>
            <w:vAlign w:val="center"/>
          </w:tcPr>
          <w:p w14:paraId="3F0AC8C2" w14:textId="2FA247F2"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Rendah–Sangat Tinggi</w:t>
            </w:r>
          </w:p>
        </w:tc>
        <w:tc>
          <w:tcPr>
            <w:tcW w:w="937" w:type="pct"/>
            <w:vAlign w:val="center"/>
          </w:tcPr>
          <w:p w14:paraId="1BC47DD7" w14:textId="7FAEDD5C"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Hasil analisis</w:t>
            </w:r>
          </w:p>
        </w:tc>
      </w:tr>
      <w:tr w:rsidR="00467989" w:rsidRPr="003417AF" w14:paraId="75F6B231" w14:textId="77777777" w:rsidTr="003417AF">
        <w:tc>
          <w:tcPr>
            <w:tcW w:w="1058" w:type="pct"/>
            <w:tcBorders>
              <w:bottom w:val="single" w:sz="4" w:space="0" w:color="auto"/>
            </w:tcBorders>
            <w:vAlign w:val="center"/>
          </w:tcPr>
          <w:p w14:paraId="4797B646" w14:textId="726F1971"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Prioritas mitigasi</w:t>
            </w:r>
          </w:p>
        </w:tc>
        <w:tc>
          <w:tcPr>
            <w:tcW w:w="1010" w:type="pct"/>
            <w:tcBorders>
              <w:bottom w:val="single" w:sz="4" w:space="0" w:color="auto"/>
            </w:tcBorders>
            <w:vAlign w:val="center"/>
          </w:tcPr>
          <w:p w14:paraId="22386C5B" w14:textId="2B2FEA2E"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Prioritas tindakan</w:t>
            </w:r>
          </w:p>
        </w:tc>
        <w:tc>
          <w:tcPr>
            <w:tcW w:w="936" w:type="pct"/>
            <w:tcBorders>
              <w:bottom w:val="single" w:sz="4" w:space="0" w:color="auto"/>
            </w:tcBorders>
            <w:vAlign w:val="center"/>
          </w:tcPr>
          <w:p w14:paraId="69A19920" w14:textId="6837B05D"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Urutan tindakan pengendalian berdasarkan nilai RPN tertinggi</w:t>
            </w:r>
          </w:p>
        </w:tc>
        <w:tc>
          <w:tcPr>
            <w:tcW w:w="1058" w:type="pct"/>
            <w:tcBorders>
              <w:bottom w:val="single" w:sz="4" w:space="0" w:color="auto"/>
            </w:tcBorders>
            <w:vAlign w:val="center"/>
          </w:tcPr>
          <w:p w14:paraId="777C580F" w14:textId="3B75CED4"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Ranking</w:t>
            </w:r>
          </w:p>
        </w:tc>
        <w:tc>
          <w:tcPr>
            <w:tcW w:w="937" w:type="pct"/>
            <w:tcBorders>
              <w:bottom w:val="single" w:sz="4" w:space="0" w:color="auto"/>
            </w:tcBorders>
            <w:vAlign w:val="center"/>
          </w:tcPr>
          <w:p w14:paraId="784B25D1" w14:textId="318C7C33" w:rsidR="00467989" w:rsidRPr="003417AF" w:rsidRDefault="00467989" w:rsidP="00033CD7">
            <w:pPr>
              <w:pStyle w:val="NormalWeb"/>
              <w:spacing w:before="0" w:beforeAutospacing="0" w:after="0" w:afterAutospacing="0"/>
              <w:jc w:val="both"/>
              <w:rPr>
                <w:rFonts w:asciiTheme="majorBidi" w:hAnsiTheme="majorBidi" w:cstheme="majorBidi"/>
                <w:sz w:val="20"/>
                <w:szCs w:val="20"/>
              </w:rPr>
            </w:pPr>
            <w:r w:rsidRPr="003417AF">
              <w:rPr>
                <w:rFonts w:asciiTheme="majorBidi" w:hAnsiTheme="majorBidi" w:cstheme="majorBidi"/>
                <w:sz w:val="20"/>
                <w:szCs w:val="20"/>
              </w:rPr>
              <w:t>Hasil prioritisasi FMEA</w:t>
            </w:r>
          </w:p>
        </w:tc>
      </w:tr>
    </w:tbl>
    <w:p w14:paraId="5CD383FE" w14:textId="2629A27F" w:rsidR="00467989" w:rsidRPr="00033CD7" w:rsidRDefault="00033CD7" w:rsidP="00033CD7">
      <w:pPr>
        <w:pStyle w:val="NormalWeb"/>
        <w:spacing w:before="0" w:beforeAutospacing="0" w:after="0" w:afterAutospacing="0"/>
        <w:jc w:val="both"/>
        <w:rPr>
          <w:sz w:val="20"/>
          <w:szCs w:val="20"/>
        </w:rPr>
      </w:pPr>
      <w:r w:rsidRPr="00033CD7">
        <w:rPr>
          <w:sz w:val="20"/>
          <w:szCs w:val="20"/>
        </w:rPr>
        <w:t xml:space="preserve">Sumber: </w:t>
      </w:r>
      <w:r w:rsidR="00723F89">
        <w:rPr>
          <w:sz w:val="20"/>
          <w:szCs w:val="20"/>
        </w:rPr>
        <w:t xml:space="preserve">Hasil Survei dan </w:t>
      </w:r>
      <w:r w:rsidRPr="00033CD7">
        <w:rPr>
          <w:sz w:val="20"/>
          <w:szCs w:val="20"/>
        </w:rPr>
        <w:t>Olahan Penelitian (2026)</w:t>
      </w:r>
    </w:p>
    <w:p w14:paraId="2816318F" w14:textId="579533F0" w:rsidR="00467989" w:rsidRDefault="00467989" w:rsidP="00467989">
      <w:pPr>
        <w:jc w:val="both"/>
      </w:pPr>
    </w:p>
    <w:p w14:paraId="1EE87361" w14:textId="3C01A0DA" w:rsidR="00695CE7" w:rsidRDefault="00AE118A">
      <w:pPr>
        <w:numPr>
          <w:ilvl w:val="0"/>
          <w:numId w:val="6"/>
        </w:numPr>
        <w:spacing w:before="120" w:after="120"/>
        <w:ind w:left="360" w:hanging="360"/>
        <w:rPr>
          <w:color w:val="000000"/>
        </w:rPr>
      </w:pPr>
      <w:r>
        <w:rPr>
          <w:b/>
          <w:color w:val="000000"/>
        </w:rPr>
        <w:t>HASIL DAN PEMBAHASAN</w:t>
      </w:r>
    </w:p>
    <w:p w14:paraId="09DF3524" w14:textId="77777777" w:rsidR="003417AF" w:rsidRPr="00124A08" w:rsidRDefault="003417AF" w:rsidP="003417AF">
      <w:pPr>
        <w:jc w:val="both"/>
        <w:outlineLvl w:val="1"/>
        <w:rPr>
          <w:rFonts w:asciiTheme="majorBidi" w:eastAsia="Times New Roman" w:hAnsiTheme="majorBidi" w:cstheme="majorBidi"/>
          <w:b/>
          <w:bCs/>
          <w:sz w:val="22"/>
          <w:szCs w:val="22"/>
        </w:rPr>
      </w:pPr>
      <w:r w:rsidRPr="00124A08">
        <w:rPr>
          <w:rFonts w:asciiTheme="majorBidi" w:eastAsia="Times New Roman" w:hAnsiTheme="majorBidi" w:cstheme="majorBidi"/>
          <w:b/>
          <w:bCs/>
          <w:sz w:val="22"/>
          <w:szCs w:val="22"/>
        </w:rPr>
        <w:t>a. Identifikasi Failure Mode pada Propylene Recovery Unit</w:t>
      </w:r>
    </w:p>
    <w:p w14:paraId="530666F7" w14:textId="77777777" w:rsidR="003417AF" w:rsidRPr="00124A08" w:rsidRDefault="003417AF" w:rsidP="003417AF">
      <w:pPr>
        <w:ind w:firstLine="720"/>
        <w:jc w:val="both"/>
        <w:rPr>
          <w:rFonts w:asciiTheme="majorBidi" w:eastAsia="Times New Roman" w:hAnsiTheme="majorBidi" w:cstheme="majorBidi"/>
          <w:sz w:val="22"/>
          <w:szCs w:val="22"/>
        </w:rPr>
      </w:pPr>
      <w:r w:rsidRPr="00124A08">
        <w:rPr>
          <w:rFonts w:asciiTheme="majorBidi" w:eastAsia="Times New Roman" w:hAnsiTheme="majorBidi" w:cstheme="majorBidi"/>
          <w:sz w:val="22"/>
          <w:szCs w:val="22"/>
        </w:rPr>
        <w:t xml:space="preserve">Hasil identifikasi menunjukkan bahwa risiko </w:t>
      </w:r>
      <w:r w:rsidRPr="00124A08">
        <w:rPr>
          <w:rFonts w:asciiTheme="majorBidi" w:eastAsia="Times New Roman" w:hAnsiTheme="majorBidi" w:cstheme="majorBidi"/>
          <w:i/>
          <w:iCs/>
          <w:sz w:val="22"/>
          <w:szCs w:val="22"/>
        </w:rPr>
        <w:t>overpressure</w:t>
      </w:r>
      <w:r w:rsidRPr="00124A08">
        <w:rPr>
          <w:rFonts w:asciiTheme="majorBidi" w:eastAsia="Times New Roman" w:hAnsiTheme="majorBidi" w:cstheme="majorBidi"/>
          <w:sz w:val="22"/>
          <w:szCs w:val="22"/>
        </w:rPr>
        <w:t xml:space="preserve"> pada </w:t>
      </w:r>
      <w:r w:rsidRPr="00124A08">
        <w:rPr>
          <w:rFonts w:asciiTheme="majorBidi" w:eastAsia="Times New Roman" w:hAnsiTheme="majorBidi" w:cstheme="majorBidi"/>
          <w:i/>
          <w:iCs/>
          <w:sz w:val="22"/>
          <w:szCs w:val="22"/>
        </w:rPr>
        <w:t>Propylene Recovery Unit</w:t>
      </w:r>
      <w:r w:rsidRPr="00124A08">
        <w:rPr>
          <w:rFonts w:asciiTheme="majorBidi" w:eastAsia="Times New Roman" w:hAnsiTheme="majorBidi" w:cstheme="majorBidi"/>
          <w:sz w:val="22"/>
          <w:szCs w:val="22"/>
        </w:rPr>
        <w:t xml:space="preserve"> berasal dari interaksi kegagalan instrumentasi, kontrol tekanan, </w:t>
      </w:r>
      <w:r w:rsidRPr="00124A08">
        <w:rPr>
          <w:rFonts w:asciiTheme="majorBidi" w:eastAsia="Times New Roman" w:hAnsiTheme="majorBidi" w:cstheme="majorBidi"/>
          <w:i/>
          <w:iCs/>
          <w:sz w:val="22"/>
          <w:szCs w:val="22"/>
        </w:rPr>
        <w:t>pressure protection system</w:t>
      </w:r>
      <w:r w:rsidRPr="00124A08">
        <w:rPr>
          <w:rFonts w:asciiTheme="majorBidi" w:eastAsia="Times New Roman" w:hAnsiTheme="majorBidi" w:cstheme="majorBidi"/>
          <w:sz w:val="22"/>
          <w:szCs w:val="22"/>
        </w:rPr>
        <w:t xml:space="preserve">, perpindahan panas, dan faktor operator. Berdasarkan observasi proses, histori gangguan, serta evaluasi sistem operasi, delapan </w:t>
      </w:r>
      <w:r w:rsidRPr="00124A08">
        <w:rPr>
          <w:rFonts w:asciiTheme="majorBidi" w:eastAsia="Times New Roman" w:hAnsiTheme="majorBidi" w:cstheme="majorBidi"/>
          <w:i/>
          <w:iCs/>
          <w:sz w:val="22"/>
          <w:szCs w:val="22"/>
        </w:rPr>
        <w:t>failure</w:t>
      </w:r>
      <w:r w:rsidRPr="00124A08">
        <w:rPr>
          <w:rFonts w:asciiTheme="majorBidi" w:eastAsia="Times New Roman" w:hAnsiTheme="majorBidi" w:cstheme="majorBidi"/>
          <w:sz w:val="22"/>
          <w:szCs w:val="22"/>
        </w:rPr>
        <w:t xml:space="preserve"> mode utama berhasil diidentifikasi, yaitu tekanan kolom distilasi tidak terkontrol, PRV/PSV </w:t>
      </w:r>
      <w:r w:rsidRPr="00124A08">
        <w:rPr>
          <w:rFonts w:asciiTheme="majorBidi" w:eastAsia="Times New Roman" w:hAnsiTheme="majorBidi" w:cstheme="majorBidi"/>
          <w:i/>
          <w:iCs/>
          <w:sz w:val="22"/>
          <w:szCs w:val="22"/>
        </w:rPr>
        <w:t>stuck</w:t>
      </w:r>
      <w:r w:rsidRPr="00124A08">
        <w:rPr>
          <w:rFonts w:asciiTheme="majorBidi" w:eastAsia="Times New Roman" w:hAnsiTheme="majorBidi" w:cstheme="majorBidi"/>
          <w:sz w:val="22"/>
          <w:szCs w:val="22"/>
        </w:rPr>
        <w:t xml:space="preserve">, </w:t>
      </w:r>
      <w:r w:rsidRPr="00124A08">
        <w:rPr>
          <w:rFonts w:asciiTheme="majorBidi" w:eastAsia="Times New Roman" w:hAnsiTheme="majorBidi" w:cstheme="majorBidi"/>
          <w:i/>
          <w:iCs/>
          <w:sz w:val="22"/>
          <w:szCs w:val="22"/>
        </w:rPr>
        <w:t>pressure transmitter error</w:t>
      </w:r>
      <w:r w:rsidRPr="00124A08">
        <w:rPr>
          <w:rFonts w:asciiTheme="majorBidi" w:eastAsia="Times New Roman" w:hAnsiTheme="majorBidi" w:cstheme="majorBidi"/>
          <w:sz w:val="22"/>
          <w:szCs w:val="22"/>
        </w:rPr>
        <w:t xml:space="preserve">, </w:t>
      </w:r>
      <w:r w:rsidRPr="00124A08">
        <w:rPr>
          <w:rFonts w:asciiTheme="majorBidi" w:eastAsia="Times New Roman" w:hAnsiTheme="majorBidi" w:cstheme="majorBidi"/>
          <w:i/>
          <w:iCs/>
          <w:sz w:val="22"/>
          <w:szCs w:val="22"/>
        </w:rPr>
        <w:t>control valve stuck</w:t>
      </w:r>
      <w:r w:rsidRPr="00124A08">
        <w:rPr>
          <w:rFonts w:asciiTheme="majorBidi" w:eastAsia="Times New Roman" w:hAnsiTheme="majorBidi" w:cstheme="majorBidi"/>
          <w:sz w:val="22"/>
          <w:szCs w:val="22"/>
        </w:rPr>
        <w:t xml:space="preserve">, kebocoran pipa bertekanan, </w:t>
      </w:r>
      <w:r w:rsidRPr="00124A08">
        <w:rPr>
          <w:rFonts w:asciiTheme="majorBidi" w:eastAsia="Times New Roman" w:hAnsiTheme="majorBidi" w:cstheme="majorBidi"/>
          <w:i/>
          <w:iCs/>
          <w:sz w:val="22"/>
          <w:szCs w:val="22"/>
        </w:rPr>
        <w:t>heat exchanger fouling</w:t>
      </w:r>
      <w:r w:rsidRPr="00124A08">
        <w:rPr>
          <w:rFonts w:asciiTheme="majorBidi" w:eastAsia="Times New Roman" w:hAnsiTheme="majorBidi" w:cstheme="majorBidi"/>
          <w:sz w:val="22"/>
          <w:szCs w:val="22"/>
        </w:rPr>
        <w:t xml:space="preserve">, kegagalan HIPPS, dan </w:t>
      </w:r>
      <w:r w:rsidRPr="00124A08">
        <w:rPr>
          <w:rFonts w:asciiTheme="majorBidi" w:eastAsia="Times New Roman" w:hAnsiTheme="majorBidi" w:cstheme="majorBidi"/>
          <w:i/>
          <w:iCs/>
          <w:sz w:val="22"/>
          <w:szCs w:val="22"/>
        </w:rPr>
        <w:t>human error</w:t>
      </w:r>
      <w:r w:rsidRPr="00124A08">
        <w:rPr>
          <w:rFonts w:asciiTheme="majorBidi" w:eastAsia="Times New Roman" w:hAnsiTheme="majorBidi" w:cstheme="majorBidi"/>
          <w:sz w:val="22"/>
          <w:szCs w:val="22"/>
        </w:rPr>
        <w:t xml:space="preserve"> operasi. </w:t>
      </w:r>
      <w:r w:rsidRPr="00124A08">
        <w:rPr>
          <w:rFonts w:asciiTheme="majorBidi" w:eastAsia="Times New Roman" w:hAnsiTheme="majorBidi" w:cstheme="majorBidi"/>
          <w:i/>
          <w:iCs/>
          <w:sz w:val="22"/>
          <w:szCs w:val="22"/>
        </w:rPr>
        <w:t>Failure</w:t>
      </w:r>
      <w:r w:rsidRPr="00124A08">
        <w:rPr>
          <w:rFonts w:asciiTheme="majorBidi" w:eastAsia="Times New Roman" w:hAnsiTheme="majorBidi" w:cstheme="majorBidi"/>
          <w:sz w:val="22"/>
          <w:szCs w:val="22"/>
        </w:rPr>
        <w:t xml:space="preserve"> mode tersebut memiliki </w:t>
      </w:r>
      <w:r w:rsidRPr="00124A08">
        <w:rPr>
          <w:rFonts w:asciiTheme="majorBidi" w:eastAsia="Times New Roman" w:hAnsiTheme="majorBidi" w:cstheme="majorBidi"/>
          <w:sz w:val="22"/>
          <w:szCs w:val="22"/>
        </w:rPr>
        <w:lastRenderedPageBreak/>
        <w:t xml:space="preserve">hubungan langsung dengan kestabilan tekanan proses karena mempengaruhi kemampuan sistem dalam mengendalikan tekanan, mendeteksi deviasi operasi, atau melepaskan tekanan berlebih ketika terjadi abnormal </w:t>
      </w:r>
      <w:r w:rsidRPr="00124A08">
        <w:rPr>
          <w:rFonts w:asciiTheme="majorBidi" w:eastAsia="Times New Roman" w:hAnsiTheme="majorBidi" w:cstheme="majorBidi"/>
          <w:i/>
          <w:iCs/>
          <w:sz w:val="22"/>
          <w:szCs w:val="22"/>
        </w:rPr>
        <w:t>condition</w:t>
      </w:r>
      <w:r w:rsidRPr="00124A08">
        <w:rPr>
          <w:rFonts w:asciiTheme="majorBidi" w:eastAsia="Times New Roman" w:hAnsiTheme="majorBidi" w:cstheme="majorBidi"/>
          <w:sz w:val="22"/>
          <w:szCs w:val="22"/>
        </w:rPr>
        <w:t>.</w:t>
      </w:r>
    </w:p>
    <w:p w14:paraId="37A8F71C" w14:textId="77777777" w:rsidR="003417AF" w:rsidRDefault="003417AF" w:rsidP="003417AF">
      <w:pPr>
        <w:ind w:firstLine="720"/>
        <w:jc w:val="both"/>
        <w:rPr>
          <w:rFonts w:asciiTheme="majorBidi" w:eastAsia="Times New Roman" w:hAnsiTheme="majorBidi" w:cstheme="majorBidi"/>
        </w:rPr>
      </w:pPr>
      <w:r w:rsidRPr="00124A08">
        <w:rPr>
          <w:rFonts w:asciiTheme="majorBidi" w:eastAsia="Times New Roman" w:hAnsiTheme="majorBidi" w:cstheme="majorBidi"/>
          <w:sz w:val="22"/>
          <w:szCs w:val="22"/>
        </w:rPr>
        <w:t xml:space="preserve">Tekanan kolom distilasi yang tidak terkendali berpotensi menyebabkan akumulasi tekanan akibat ketidakseimbangan temperatur, aliran, dan performa sistem kontrol. PRV/PSV stuck menyebabkan tekanan lebih tidak dapat dilepas sesuai kapasitas desain sistem proteksi tekanan. </w:t>
      </w:r>
      <w:r w:rsidRPr="00124A08">
        <w:rPr>
          <w:rFonts w:asciiTheme="majorBidi" w:eastAsia="Times New Roman" w:hAnsiTheme="majorBidi" w:cstheme="majorBidi"/>
          <w:i/>
          <w:iCs/>
          <w:sz w:val="22"/>
          <w:szCs w:val="22"/>
        </w:rPr>
        <w:t>Pressure transmitter error</w:t>
      </w:r>
      <w:r w:rsidRPr="00124A08">
        <w:rPr>
          <w:rFonts w:asciiTheme="majorBidi" w:eastAsia="Times New Roman" w:hAnsiTheme="majorBidi" w:cstheme="majorBidi"/>
          <w:sz w:val="22"/>
          <w:szCs w:val="22"/>
        </w:rPr>
        <w:t xml:space="preserve"> mempengaruhi akurasi pembacaan tekanan sehingga kontrol proses dapat memberikan </w:t>
      </w:r>
      <w:r>
        <w:rPr>
          <w:rFonts w:asciiTheme="majorBidi" w:eastAsia="Times New Roman" w:hAnsiTheme="majorBidi" w:cstheme="majorBidi"/>
        </w:rPr>
        <w:t>respon</w:t>
      </w:r>
      <w:r w:rsidRPr="00124A08">
        <w:rPr>
          <w:rFonts w:asciiTheme="majorBidi" w:eastAsia="Times New Roman" w:hAnsiTheme="majorBidi" w:cstheme="majorBidi"/>
          <w:sz w:val="22"/>
          <w:szCs w:val="22"/>
        </w:rPr>
        <w:t xml:space="preserve"> yang tidak sesuai kondisi aktual. </w:t>
      </w:r>
      <w:r w:rsidRPr="00124A08">
        <w:rPr>
          <w:rFonts w:asciiTheme="majorBidi" w:eastAsia="Times New Roman" w:hAnsiTheme="majorBidi" w:cstheme="majorBidi"/>
          <w:i/>
          <w:iCs/>
          <w:sz w:val="22"/>
          <w:szCs w:val="22"/>
        </w:rPr>
        <w:t>Control valve stuck</w:t>
      </w:r>
      <w:r w:rsidRPr="00124A08">
        <w:rPr>
          <w:rFonts w:asciiTheme="majorBidi" w:eastAsia="Times New Roman" w:hAnsiTheme="majorBidi" w:cstheme="majorBidi"/>
          <w:sz w:val="22"/>
          <w:szCs w:val="22"/>
        </w:rPr>
        <w:t xml:space="preserve"> menyebabkan gangguan pengaturan aliran </w:t>
      </w:r>
      <w:r w:rsidRPr="00124A08">
        <w:rPr>
          <w:rFonts w:asciiTheme="majorBidi" w:eastAsia="Times New Roman" w:hAnsiTheme="majorBidi" w:cstheme="majorBidi"/>
          <w:i/>
          <w:iCs/>
          <w:sz w:val="22"/>
          <w:szCs w:val="22"/>
        </w:rPr>
        <w:t>propylene</w:t>
      </w:r>
      <w:r w:rsidRPr="00124A08">
        <w:rPr>
          <w:rFonts w:asciiTheme="majorBidi" w:eastAsia="Times New Roman" w:hAnsiTheme="majorBidi" w:cstheme="majorBidi"/>
          <w:sz w:val="22"/>
          <w:szCs w:val="22"/>
        </w:rPr>
        <w:t xml:space="preserve"> dan meningkatkan kemungkinan </w:t>
      </w:r>
      <w:r w:rsidRPr="00124A08">
        <w:rPr>
          <w:rFonts w:asciiTheme="majorBidi" w:eastAsia="Times New Roman" w:hAnsiTheme="majorBidi" w:cstheme="majorBidi"/>
          <w:i/>
          <w:iCs/>
          <w:sz w:val="22"/>
          <w:szCs w:val="22"/>
        </w:rPr>
        <w:t>pressure fluctuation</w:t>
      </w:r>
      <w:r w:rsidRPr="00124A08">
        <w:rPr>
          <w:rFonts w:asciiTheme="majorBidi" w:eastAsia="Times New Roman" w:hAnsiTheme="majorBidi" w:cstheme="majorBidi"/>
          <w:sz w:val="22"/>
          <w:szCs w:val="22"/>
        </w:rPr>
        <w:t xml:space="preserve">. </w:t>
      </w:r>
      <w:r w:rsidRPr="00124A08">
        <w:rPr>
          <w:rFonts w:asciiTheme="majorBidi" w:eastAsia="Times New Roman" w:hAnsiTheme="majorBidi" w:cstheme="majorBidi"/>
          <w:i/>
          <w:iCs/>
          <w:sz w:val="22"/>
          <w:szCs w:val="22"/>
        </w:rPr>
        <w:t>Heat exchanger fouling</w:t>
      </w:r>
      <w:r w:rsidRPr="00124A08">
        <w:rPr>
          <w:rFonts w:asciiTheme="majorBidi" w:eastAsia="Times New Roman" w:hAnsiTheme="majorBidi" w:cstheme="majorBidi"/>
          <w:sz w:val="22"/>
          <w:szCs w:val="22"/>
        </w:rPr>
        <w:t xml:space="preserve"> menurunkan efektivitas perpindahan panas sehingga temperatur dan tekanan proses meningkat secara gradual. Kebocoran pipa bertekanan menyebabkan kehilangan </w:t>
      </w:r>
      <w:r w:rsidRPr="00124A08">
        <w:rPr>
          <w:rFonts w:asciiTheme="majorBidi" w:eastAsia="Times New Roman" w:hAnsiTheme="majorBidi" w:cstheme="majorBidi"/>
          <w:i/>
          <w:iCs/>
          <w:sz w:val="22"/>
          <w:szCs w:val="22"/>
        </w:rPr>
        <w:t>containment</w:t>
      </w:r>
      <w:r w:rsidRPr="00124A08">
        <w:rPr>
          <w:rFonts w:asciiTheme="majorBidi" w:eastAsia="Times New Roman" w:hAnsiTheme="majorBidi" w:cstheme="majorBidi"/>
          <w:sz w:val="22"/>
          <w:szCs w:val="22"/>
        </w:rPr>
        <w:t xml:space="preserve"> dan penurunan integritas sistem tekanan. HIPPS </w:t>
      </w:r>
      <w:r w:rsidRPr="00124A08">
        <w:rPr>
          <w:rFonts w:asciiTheme="majorBidi" w:eastAsia="Times New Roman" w:hAnsiTheme="majorBidi" w:cstheme="majorBidi"/>
          <w:i/>
          <w:iCs/>
          <w:sz w:val="22"/>
          <w:szCs w:val="22"/>
        </w:rPr>
        <w:t>failure</w:t>
      </w:r>
      <w:r w:rsidRPr="00124A08">
        <w:rPr>
          <w:rFonts w:asciiTheme="majorBidi" w:eastAsia="Times New Roman" w:hAnsiTheme="majorBidi" w:cstheme="majorBidi"/>
          <w:sz w:val="22"/>
          <w:szCs w:val="22"/>
        </w:rPr>
        <w:t xml:space="preserve"> menurunkan kemampuan </w:t>
      </w:r>
      <w:r w:rsidRPr="00124A08">
        <w:rPr>
          <w:rFonts w:asciiTheme="majorBidi" w:eastAsia="Times New Roman" w:hAnsiTheme="majorBidi" w:cstheme="majorBidi"/>
          <w:i/>
          <w:iCs/>
          <w:sz w:val="22"/>
          <w:szCs w:val="22"/>
        </w:rPr>
        <w:t>barrier</w:t>
      </w:r>
      <w:r w:rsidRPr="00124A08">
        <w:rPr>
          <w:rFonts w:asciiTheme="majorBidi" w:eastAsia="Times New Roman" w:hAnsiTheme="majorBidi" w:cstheme="majorBidi"/>
          <w:sz w:val="22"/>
          <w:szCs w:val="22"/>
        </w:rPr>
        <w:t xml:space="preserve"> akhir dalam mengisolasi tekanan berlebih, sedangkan </w:t>
      </w:r>
      <w:r w:rsidRPr="00124A08">
        <w:rPr>
          <w:rFonts w:asciiTheme="majorBidi" w:eastAsia="Times New Roman" w:hAnsiTheme="majorBidi" w:cstheme="majorBidi"/>
          <w:i/>
          <w:iCs/>
          <w:sz w:val="22"/>
          <w:szCs w:val="22"/>
        </w:rPr>
        <w:t>human error</w:t>
      </w:r>
      <w:r w:rsidRPr="00124A08">
        <w:rPr>
          <w:rFonts w:asciiTheme="majorBidi" w:eastAsia="Times New Roman" w:hAnsiTheme="majorBidi" w:cstheme="majorBidi"/>
          <w:sz w:val="22"/>
          <w:szCs w:val="22"/>
        </w:rPr>
        <w:t xml:space="preserve"> operasi berkaitan dengan keterlambatan respon alarm, kesalahan pengaturan operasi, dan ketidaksesuaian prosedur operasi.</w:t>
      </w:r>
    </w:p>
    <w:p w14:paraId="681CBDCB" w14:textId="77777777" w:rsidR="003417AF" w:rsidRPr="00124A08" w:rsidRDefault="003417AF" w:rsidP="003417AF">
      <w:pPr>
        <w:ind w:firstLine="720"/>
        <w:jc w:val="both"/>
        <w:rPr>
          <w:rFonts w:asciiTheme="majorBidi" w:eastAsia="Times New Roman" w:hAnsiTheme="majorBidi" w:cstheme="majorBidi"/>
          <w:sz w:val="22"/>
          <w:szCs w:val="22"/>
        </w:rPr>
      </w:pPr>
    </w:p>
    <w:p w14:paraId="31A9FFAC" w14:textId="77777777" w:rsidR="003417AF" w:rsidRPr="00124A08" w:rsidRDefault="003417AF" w:rsidP="003417AF">
      <w:pPr>
        <w:jc w:val="center"/>
        <w:outlineLvl w:val="2"/>
        <w:rPr>
          <w:rFonts w:asciiTheme="majorBidi" w:eastAsia="Times New Roman" w:hAnsiTheme="majorBidi" w:cstheme="majorBidi"/>
          <w:b/>
          <w:bCs/>
          <w:sz w:val="22"/>
          <w:szCs w:val="22"/>
        </w:rPr>
      </w:pPr>
      <w:r w:rsidRPr="00124A08">
        <w:rPr>
          <w:rFonts w:asciiTheme="majorBidi" w:eastAsia="Times New Roman" w:hAnsiTheme="majorBidi" w:cstheme="majorBidi"/>
          <w:b/>
          <w:bCs/>
          <w:sz w:val="22"/>
          <w:szCs w:val="22"/>
        </w:rPr>
        <w:t>Tabel 2. Failure Mode, Penyebab, dan Dampak Sistem pada PRU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1"/>
        <w:gridCol w:w="1369"/>
        <w:gridCol w:w="1522"/>
        <w:gridCol w:w="3226"/>
        <w:gridCol w:w="2633"/>
      </w:tblGrid>
      <w:tr w:rsidR="003417AF" w:rsidRPr="00124A08" w14:paraId="31AE581D" w14:textId="77777777" w:rsidTr="00390C3D">
        <w:trPr>
          <w:tblHeader/>
          <w:tblCellSpacing w:w="15" w:type="dxa"/>
        </w:trPr>
        <w:tc>
          <w:tcPr>
            <w:tcW w:w="0" w:type="auto"/>
            <w:tcBorders>
              <w:top w:val="single" w:sz="4" w:space="0" w:color="auto"/>
              <w:bottom w:val="single" w:sz="4" w:space="0" w:color="auto"/>
            </w:tcBorders>
            <w:vAlign w:val="center"/>
            <w:hideMark/>
          </w:tcPr>
          <w:p w14:paraId="61C224AD" w14:textId="77777777" w:rsidR="003417AF" w:rsidRPr="00124A08" w:rsidRDefault="003417AF" w:rsidP="00390C3D">
            <w:pPr>
              <w:jc w:val="center"/>
              <w:rPr>
                <w:rFonts w:asciiTheme="majorBidi" w:eastAsia="Times New Roman" w:hAnsiTheme="majorBidi" w:cstheme="majorBidi"/>
                <w:b/>
                <w:bCs/>
                <w:sz w:val="20"/>
                <w:szCs w:val="20"/>
              </w:rPr>
            </w:pPr>
            <w:r w:rsidRPr="00124A08">
              <w:rPr>
                <w:rFonts w:asciiTheme="majorBidi" w:eastAsia="Times New Roman" w:hAnsiTheme="majorBidi" w:cstheme="majorBidi"/>
                <w:b/>
                <w:bCs/>
                <w:sz w:val="20"/>
                <w:szCs w:val="20"/>
              </w:rPr>
              <w:t>No</w:t>
            </w:r>
          </w:p>
        </w:tc>
        <w:tc>
          <w:tcPr>
            <w:tcW w:w="0" w:type="auto"/>
            <w:tcBorders>
              <w:top w:val="single" w:sz="4" w:space="0" w:color="auto"/>
              <w:bottom w:val="single" w:sz="4" w:space="0" w:color="auto"/>
            </w:tcBorders>
            <w:vAlign w:val="center"/>
            <w:hideMark/>
          </w:tcPr>
          <w:p w14:paraId="7005EDB7" w14:textId="77777777" w:rsidR="003417AF" w:rsidRPr="00124A08" w:rsidRDefault="003417AF" w:rsidP="00390C3D">
            <w:pPr>
              <w:jc w:val="center"/>
              <w:rPr>
                <w:rFonts w:asciiTheme="majorBidi" w:eastAsia="Times New Roman" w:hAnsiTheme="majorBidi" w:cstheme="majorBidi"/>
                <w:b/>
                <w:bCs/>
                <w:sz w:val="20"/>
                <w:szCs w:val="20"/>
              </w:rPr>
            </w:pPr>
            <w:r w:rsidRPr="00124A08">
              <w:rPr>
                <w:rFonts w:asciiTheme="majorBidi" w:eastAsia="Times New Roman" w:hAnsiTheme="majorBidi" w:cstheme="majorBidi"/>
                <w:b/>
                <w:bCs/>
                <w:sz w:val="20"/>
                <w:szCs w:val="20"/>
              </w:rPr>
              <w:t>Komponen</w:t>
            </w:r>
          </w:p>
        </w:tc>
        <w:tc>
          <w:tcPr>
            <w:tcW w:w="0" w:type="auto"/>
            <w:tcBorders>
              <w:top w:val="single" w:sz="4" w:space="0" w:color="auto"/>
              <w:bottom w:val="single" w:sz="4" w:space="0" w:color="auto"/>
            </w:tcBorders>
            <w:vAlign w:val="center"/>
            <w:hideMark/>
          </w:tcPr>
          <w:p w14:paraId="2E7D82C3" w14:textId="77777777" w:rsidR="003417AF" w:rsidRPr="00124A08" w:rsidRDefault="003417AF" w:rsidP="00390C3D">
            <w:pPr>
              <w:jc w:val="center"/>
              <w:rPr>
                <w:rFonts w:asciiTheme="majorBidi" w:eastAsia="Times New Roman" w:hAnsiTheme="majorBidi" w:cstheme="majorBidi"/>
                <w:b/>
                <w:bCs/>
                <w:sz w:val="20"/>
                <w:szCs w:val="20"/>
              </w:rPr>
            </w:pPr>
            <w:r w:rsidRPr="00124A08">
              <w:rPr>
                <w:rFonts w:asciiTheme="majorBidi" w:eastAsia="Times New Roman" w:hAnsiTheme="majorBidi" w:cstheme="majorBidi"/>
                <w:b/>
                <w:bCs/>
                <w:i/>
                <w:iCs/>
                <w:sz w:val="20"/>
                <w:szCs w:val="20"/>
              </w:rPr>
              <w:t>Failure</w:t>
            </w:r>
            <w:r w:rsidRPr="00124A08">
              <w:rPr>
                <w:rFonts w:asciiTheme="majorBidi" w:eastAsia="Times New Roman" w:hAnsiTheme="majorBidi" w:cstheme="majorBidi"/>
                <w:b/>
                <w:bCs/>
                <w:sz w:val="20"/>
                <w:szCs w:val="20"/>
              </w:rPr>
              <w:t xml:space="preserve"> Mode</w:t>
            </w:r>
          </w:p>
        </w:tc>
        <w:tc>
          <w:tcPr>
            <w:tcW w:w="0" w:type="auto"/>
            <w:tcBorders>
              <w:top w:val="single" w:sz="4" w:space="0" w:color="auto"/>
              <w:bottom w:val="single" w:sz="4" w:space="0" w:color="auto"/>
            </w:tcBorders>
            <w:vAlign w:val="center"/>
            <w:hideMark/>
          </w:tcPr>
          <w:p w14:paraId="200E414B" w14:textId="77777777" w:rsidR="003417AF" w:rsidRPr="00124A08" w:rsidRDefault="003417AF" w:rsidP="00390C3D">
            <w:pPr>
              <w:jc w:val="center"/>
              <w:rPr>
                <w:rFonts w:asciiTheme="majorBidi" w:eastAsia="Times New Roman" w:hAnsiTheme="majorBidi" w:cstheme="majorBidi"/>
                <w:b/>
                <w:bCs/>
                <w:sz w:val="20"/>
                <w:szCs w:val="20"/>
              </w:rPr>
            </w:pPr>
            <w:r w:rsidRPr="00124A08">
              <w:rPr>
                <w:rFonts w:asciiTheme="majorBidi" w:eastAsia="Times New Roman" w:hAnsiTheme="majorBidi" w:cstheme="majorBidi"/>
                <w:b/>
                <w:bCs/>
                <w:sz w:val="20"/>
                <w:szCs w:val="20"/>
              </w:rPr>
              <w:t>Penyebab Utama</w:t>
            </w:r>
          </w:p>
        </w:tc>
        <w:tc>
          <w:tcPr>
            <w:tcW w:w="0" w:type="auto"/>
            <w:tcBorders>
              <w:top w:val="single" w:sz="4" w:space="0" w:color="auto"/>
              <w:bottom w:val="single" w:sz="4" w:space="0" w:color="auto"/>
            </w:tcBorders>
            <w:vAlign w:val="center"/>
            <w:hideMark/>
          </w:tcPr>
          <w:p w14:paraId="5DEB948A" w14:textId="77777777" w:rsidR="003417AF" w:rsidRPr="00124A08" w:rsidRDefault="003417AF" w:rsidP="00390C3D">
            <w:pPr>
              <w:jc w:val="center"/>
              <w:rPr>
                <w:rFonts w:asciiTheme="majorBidi" w:eastAsia="Times New Roman" w:hAnsiTheme="majorBidi" w:cstheme="majorBidi"/>
                <w:b/>
                <w:bCs/>
                <w:sz w:val="20"/>
                <w:szCs w:val="20"/>
              </w:rPr>
            </w:pPr>
            <w:r w:rsidRPr="00124A08">
              <w:rPr>
                <w:rFonts w:asciiTheme="majorBidi" w:eastAsia="Times New Roman" w:hAnsiTheme="majorBidi" w:cstheme="majorBidi"/>
                <w:b/>
                <w:bCs/>
                <w:sz w:val="20"/>
                <w:szCs w:val="20"/>
              </w:rPr>
              <w:t>Dampak Sistem</w:t>
            </w:r>
          </w:p>
        </w:tc>
      </w:tr>
      <w:tr w:rsidR="003417AF" w:rsidRPr="00124A08" w14:paraId="6B115C95" w14:textId="77777777" w:rsidTr="00390C3D">
        <w:trPr>
          <w:tblCellSpacing w:w="15" w:type="dxa"/>
        </w:trPr>
        <w:tc>
          <w:tcPr>
            <w:tcW w:w="0" w:type="auto"/>
            <w:hideMark/>
          </w:tcPr>
          <w:p w14:paraId="08770C2F"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1</w:t>
            </w:r>
          </w:p>
        </w:tc>
        <w:tc>
          <w:tcPr>
            <w:tcW w:w="0" w:type="auto"/>
            <w:hideMark/>
          </w:tcPr>
          <w:p w14:paraId="5A1B0AAA"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Kolom distilasi</w:t>
            </w:r>
          </w:p>
        </w:tc>
        <w:tc>
          <w:tcPr>
            <w:tcW w:w="0" w:type="auto"/>
            <w:hideMark/>
          </w:tcPr>
          <w:p w14:paraId="5A75004F"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Tekanan tidak terkendali</w:t>
            </w:r>
          </w:p>
        </w:tc>
        <w:tc>
          <w:tcPr>
            <w:tcW w:w="0" w:type="auto"/>
            <w:hideMark/>
          </w:tcPr>
          <w:p w14:paraId="5599CDC2"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Gangguan kontrol tekanan dan ketidakseimbangan operasi</w:t>
            </w:r>
          </w:p>
        </w:tc>
        <w:tc>
          <w:tcPr>
            <w:tcW w:w="0" w:type="auto"/>
            <w:hideMark/>
          </w:tcPr>
          <w:p w14:paraId="08777D5F"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i/>
                <w:iCs/>
                <w:sz w:val="20"/>
                <w:szCs w:val="20"/>
              </w:rPr>
              <w:t>Overpressure</w:t>
            </w:r>
            <w:r w:rsidRPr="00124A08">
              <w:rPr>
                <w:rFonts w:asciiTheme="majorBidi" w:eastAsia="Times New Roman" w:hAnsiTheme="majorBidi" w:cstheme="majorBidi"/>
                <w:sz w:val="20"/>
                <w:szCs w:val="20"/>
              </w:rPr>
              <w:t xml:space="preserve"> dan ketidakstabilan proses</w:t>
            </w:r>
          </w:p>
        </w:tc>
      </w:tr>
      <w:tr w:rsidR="003417AF" w:rsidRPr="00124A08" w14:paraId="3168FF1B" w14:textId="77777777" w:rsidTr="00390C3D">
        <w:trPr>
          <w:tblCellSpacing w:w="15" w:type="dxa"/>
        </w:trPr>
        <w:tc>
          <w:tcPr>
            <w:tcW w:w="0" w:type="auto"/>
            <w:hideMark/>
          </w:tcPr>
          <w:p w14:paraId="1419AD61"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2</w:t>
            </w:r>
          </w:p>
        </w:tc>
        <w:tc>
          <w:tcPr>
            <w:tcW w:w="0" w:type="auto"/>
            <w:hideMark/>
          </w:tcPr>
          <w:p w14:paraId="381D0F6C"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PRV/PSV</w:t>
            </w:r>
          </w:p>
        </w:tc>
        <w:tc>
          <w:tcPr>
            <w:tcW w:w="0" w:type="auto"/>
            <w:hideMark/>
          </w:tcPr>
          <w:p w14:paraId="4DE56A04" w14:textId="77777777" w:rsidR="003417AF" w:rsidRPr="00124A08" w:rsidRDefault="003417AF" w:rsidP="00390C3D">
            <w:pPr>
              <w:rPr>
                <w:rFonts w:asciiTheme="majorBidi" w:eastAsia="Times New Roman" w:hAnsiTheme="majorBidi" w:cstheme="majorBidi"/>
                <w:i/>
                <w:iCs/>
                <w:sz w:val="20"/>
                <w:szCs w:val="20"/>
              </w:rPr>
            </w:pPr>
            <w:r w:rsidRPr="00124A08">
              <w:rPr>
                <w:rFonts w:asciiTheme="majorBidi" w:eastAsia="Times New Roman" w:hAnsiTheme="majorBidi" w:cstheme="majorBidi"/>
                <w:i/>
                <w:iCs/>
                <w:sz w:val="20"/>
                <w:szCs w:val="20"/>
              </w:rPr>
              <w:t>Stuck valve</w:t>
            </w:r>
          </w:p>
        </w:tc>
        <w:tc>
          <w:tcPr>
            <w:tcW w:w="0" w:type="auto"/>
            <w:hideMark/>
          </w:tcPr>
          <w:p w14:paraId="7520F5BD"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Deposit, korosi, dan kegagalan mekanis</w:t>
            </w:r>
          </w:p>
        </w:tc>
        <w:tc>
          <w:tcPr>
            <w:tcW w:w="0" w:type="auto"/>
            <w:hideMark/>
          </w:tcPr>
          <w:p w14:paraId="0C804F25"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Tekanan lebih tidak terlepas</w:t>
            </w:r>
          </w:p>
        </w:tc>
      </w:tr>
      <w:tr w:rsidR="003417AF" w:rsidRPr="00124A08" w14:paraId="56BA3F68" w14:textId="77777777" w:rsidTr="00390C3D">
        <w:trPr>
          <w:tblCellSpacing w:w="15" w:type="dxa"/>
        </w:trPr>
        <w:tc>
          <w:tcPr>
            <w:tcW w:w="0" w:type="auto"/>
            <w:hideMark/>
          </w:tcPr>
          <w:p w14:paraId="240F7F49"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3</w:t>
            </w:r>
          </w:p>
        </w:tc>
        <w:tc>
          <w:tcPr>
            <w:tcW w:w="0" w:type="auto"/>
            <w:hideMark/>
          </w:tcPr>
          <w:p w14:paraId="0192CA25" w14:textId="77777777" w:rsidR="003417AF" w:rsidRPr="00124A08" w:rsidRDefault="003417AF" w:rsidP="00390C3D">
            <w:pPr>
              <w:rPr>
                <w:rFonts w:asciiTheme="majorBidi" w:eastAsia="Times New Roman" w:hAnsiTheme="majorBidi" w:cstheme="majorBidi"/>
                <w:i/>
                <w:iCs/>
                <w:sz w:val="20"/>
                <w:szCs w:val="20"/>
              </w:rPr>
            </w:pPr>
            <w:r w:rsidRPr="00124A08">
              <w:rPr>
                <w:rFonts w:asciiTheme="majorBidi" w:eastAsia="Times New Roman" w:hAnsiTheme="majorBidi" w:cstheme="majorBidi"/>
                <w:i/>
                <w:iCs/>
                <w:sz w:val="20"/>
                <w:szCs w:val="20"/>
              </w:rPr>
              <w:t>Pressure transmitter</w:t>
            </w:r>
          </w:p>
        </w:tc>
        <w:tc>
          <w:tcPr>
            <w:tcW w:w="0" w:type="auto"/>
            <w:hideMark/>
          </w:tcPr>
          <w:p w14:paraId="7761B0E0"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i/>
                <w:iCs/>
                <w:sz w:val="20"/>
                <w:szCs w:val="20"/>
              </w:rPr>
              <w:t>Error</w:t>
            </w:r>
            <w:r w:rsidRPr="00124A08">
              <w:rPr>
                <w:rFonts w:asciiTheme="majorBidi" w:eastAsia="Times New Roman" w:hAnsiTheme="majorBidi" w:cstheme="majorBidi"/>
                <w:sz w:val="20"/>
                <w:szCs w:val="20"/>
              </w:rPr>
              <w:t xml:space="preserve"> pembacaan</w:t>
            </w:r>
          </w:p>
        </w:tc>
        <w:tc>
          <w:tcPr>
            <w:tcW w:w="0" w:type="auto"/>
            <w:hideMark/>
          </w:tcPr>
          <w:p w14:paraId="79CB6D7F"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i/>
                <w:iCs/>
                <w:sz w:val="20"/>
                <w:szCs w:val="20"/>
              </w:rPr>
              <w:t>Drift sensor</w:t>
            </w:r>
            <w:r w:rsidRPr="00124A08">
              <w:rPr>
                <w:rFonts w:asciiTheme="majorBidi" w:eastAsia="Times New Roman" w:hAnsiTheme="majorBidi" w:cstheme="majorBidi"/>
                <w:sz w:val="20"/>
                <w:szCs w:val="20"/>
              </w:rPr>
              <w:t xml:space="preserve"> dan gangguan sinyal</w:t>
            </w:r>
          </w:p>
        </w:tc>
        <w:tc>
          <w:tcPr>
            <w:tcW w:w="0" w:type="auto"/>
            <w:hideMark/>
          </w:tcPr>
          <w:p w14:paraId="0C348AB7"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Kesalahan kontrol tekanan</w:t>
            </w:r>
          </w:p>
        </w:tc>
      </w:tr>
      <w:tr w:rsidR="003417AF" w:rsidRPr="00124A08" w14:paraId="2124E3CB" w14:textId="77777777" w:rsidTr="00390C3D">
        <w:trPr>
          <w:tblCellSpacing w:w="15" w:type="dxa"/>
        </w:trPr>
        <w:tc>
          <w:tcPr>
            <w:tcW w:w="0" w:type="auto"/>
            <w:hideMark/>
          </w:tcPr>
          <w:p w14:paraId="421F6A13"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4</w:t>
            </w:r>
          </w:p>
        </w:tc>
        <w:tc>
          <w:tcPr>
            <w:tcW w:w="0" w:type="auto"/>
            <w:hideMark/>
          </w:tcPr>
          <w:p w14:paraId="4A3526F4" w14:textId="77777777" w:rsidR="003417AF" w:rsidRPr="00124A08" w:rsidRDefault="003417AF" w:rsidP="00390C3D">
            <w:pPr>
              <w:rPr>
                <w:rFonts w:asciiTheme="majorBidi" w:eastAsia="Times New Roman" w:hAnsiTheme="majorBidi" w:cstheme="majorBidi"/>
                <w:i/>
                <w:iCs/>
                <w:sz w:val="20"/>
                <w:szCs w:val="20"/>
              </w:rPr>
            </w:pPr>
            <w:r w:rsidRPr="00124A08">
              <w:rPr>
                <w:rFonts w:asciiTheme="majorBidi" w:eastAsia="Times New Roman" w:hAnsiTheme="majorBidi" w:cstheme="majorBidi"/>
                <w:i/>
                <w:iCs/>
                <w:sz w:val="20"/>
                <w:szCs w:val="20"/>
              </w:rPr>
              <w:t>Control valve</w:t>
            </w:r>
          </w:p>
        </w:tc>
        <w:tc>
          <w:tcPr>
            <w:tcW w:w="0" w:type="auto"/>
            <w:hideMark/>
          </w:tcPr>
          <w:p w14:paraId="7424467D" w14:textId="77777777" w:rsidR="003417AF" w:rsidRPr="00124A08" w:rsidRDefault="003417AF" w:rsidP="00390C3D">
            <w:pPr>
              <w:rPr>
                <w:rFonts w:asciiTheme="majorBidi" w:eastAsia="Times New Roman" w:hAnsiTheme="majorBidi" w:cstheme="majorBidi"/>
                <w:i/>
                <w:iCs/>
                <w:sz w:val="20"/>
                <w:szCs w:val="20"/>
              </w:rPr>
            </w:pPr>
            <w:r w:rsidRPr="00124A08">
              <w:rPr>
                <w:rFonts w:asciiTheme="majorBidi" w:eastAsia="Times New Roman" w:hAnsiTheme="majorBidi" w:cstheme="majorBidi"/>
                <w:i/>
                <w:iCs/>
                <w:sz w:val="20"/>
                <w:szCs w:val="20"/>
              </w:rPr>
              <w:t>Stuck valve</w:t>
            </w:r>
          </w:p>
        </w:tc>
        <w:tc>
          <w:tcPr>
            <w:tcW w:w="0" w:type="auto"/>
            <w:hideMark/>
          </w:tcPr>
          <w:p w14:paraId="2EB1202C"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Keausan aktuator dan deposit</w:t>
            </w:r>
          </w:p>
        </w:tc>
        <w:tc>
          <w:tcPr>
            <w:tcW w:w="0" w:type="auto"/>
            <w:hideMark/>
          </w:tcPr>
          <w:p w14:paraId="5C2C0E13"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 xml:space="preserve">Gangguan aliran </w:t>
            </w:r>
            <w:r w:rsidRPr="00124A08">
              <w:rPr>
                <w:rFonts w:asciiTheme="majorBidi" w:eastAsia="Times New Roman" w:hAnsiTheme="majorBidi" w:cstheme="majorBidi"/>
                <w:i/>
                <w:iCs/>
                <w:sz w:val="20"/>
                <w:szCs w:val="20"/>
              </w:rPr>
              <w:t>propylene</w:t>
            </w:r>
          </w:p>
        </w:tc>
      </w:tr>
      <w:tr w:rsidR="003417AF" w:rsidRPr="00124A08" w14:paraId="1035C6C7" w14:textId="77777777" w:rsidTr="00390C3D">
        <w:trPr>
          <w:tblCellSpacing w:w="15" w:type="dxa"/>
        </w:trPr>
        <w:tc>
          <w:tcPr>
            <w:tcW w:w="0" w:type="auto"/>
            <w:hideMark/>
          </w:tcPr>
          <w:p w14:paraId="1F43A403"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5</w:t>
            </w:r>
          </w:p>
        </w:tc>
        <w:tc>
          <w:tcPr>
            <w:tcW w:w="0" w:type="auto"/>
            <w:hideMark/>
          </w:tcPr>
          <w:p w14:paraId="00F7C296"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Pipa bertekanan</w:t>
            </w:r>
          </w:p>
        </w:tc>
        <w:tc>
          <w:tcPr>
            <w:tcW w:w="0" w:type="auto"/>
            <w:hideMark/>
          </w:tcPr>
          <w:p w14:paraId="3BF0B083"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Kebocoran</w:t>
            </w:r>
          </w:p>
        </w:tc>
        <w:tc>
          <w:tcPr>
            <w:tcW w:w="0" w:type="auto"/>
            <w:hideMark/>
          </w:tcPr>
          <w:p w14:paraId="1BB05807"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Korosi dan degradasi material</w:t>
            </w:r>
          </w:p>
        </w:tc>
        <w:tc>
          <w:tcPr>
            <w:tcW w:w="0" w:type="auto"/>
            <w:hideMark/>
          </w:tcPr>
          <w:p w14:paraId="572DB997" w14:textId="77777777" w:rsidR="003417AF" w:rsidRPr="00124A08" w:rsidRDefault="003417AF" w:rsidP="00390C3D">
            <w:pPr>
              <w:rPr>
                <w:rFonts w:asciiTheme="majorBidi" w:eastAsia="Times New Roman" w:hAnsiTheme="majorBidi" w:cstheme="majorBidi"/>
                <w:i/>
                <w:iCs/>
                <w:sz w:val="20"/>
                <w:szCs w:val="20"/>
              </w:rPr>
            </w:pPr>
            <w:r w:rsidRPr="00124A08">
              <w:rPr>
                <w:rFonts w:asciiTheme="majorBidi" w:eastAsia="Times New Roman" w:hAnsiTheme="majorBidi" w:cstheme="majorBidi"/>
                <w:i/>
                <w:iCs/>
                <w:sz w:val="20"/>
                <w:szCs w:val="20"/>
              </w:rPr>
              <w:t>Loss of containment</w:t>
            </w:r>
          </w:p>
        </w:tc>
      </w:tr>
      <w:tr w:rsidR="003417AF" w:rsidRPr="00124A08" w14:paraId="05D5BA4C" w14:textId="77777777" w:rsidTr="00390C3D">
        <w:trPr>
          <w:tblCellSpacing w:w="15" w:type="dxa"/>
        </w:trPr>
        <w:tc>
          <w:tcPr>
            <w:tcW w:w="0" w:type="auto"/>
            <w:hideMark/>
          </w:tcPr>
          <w:p w14:paraId="7A176980"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6</w:t>
            </w:r>
          </w:p>
        </w:tc>
        <w:tc>
          <w:tcPr>
            <w:tcW w:w="0" w:type="auto"/>
            <w:hideMark/>
          </w:tcPr>
          <w:p w14:paraId="6F374FF4" w14:textId="77777777" w:rsidR="003417AF" w:rsidRPr="00124A08" w:rsidRDefault="003417AF" w:rsidP="00390C3D">
            <w:pPr>
              <w:rPr>
                <w:rFonts w:asciiTheme="majorBidi" w:eastAsia="Times New Roman" w:hAnsiTheme="majorBidi" w:cstheme="majorBidi"/>
                <w:i/>
                <w:iCs/>
                <w:sz w:val="20"/>
                <w:szCs w:val="20"/>
              </w:rPr>
            </w:pPr>
            <w:r w:rsidRPr="00124A08">
              <w:rPr>
                <w:rFonts w:asciiTheme="majorBidi" w:eastAsia="Times New Roman" w:hAnsiTheme="majorBidi" w:cstheme="majorBidi"/>
                <w:i/>
                <w:iCs/>
                <w:sz w:val="20"/>
                <w:szCs w:val="20"/>
              </w:rPr>
              <w:t>Heat exchanger</w:t>
            </w:r>
          </w:p>
        </w:tc>
        <w:tc>
          <w:tcPr>
            <w:tcW w:w="0" w:type="auto"/>
            <w:hideMark/>
          </w:tcPr>
          <w:p w14:paraId="3803389B" w14:textId="77777777" w:rsidR="003417AF" w:rsidRPr="00124A08" w:rsidRDefault="003417AF" w:rsidP="00390C3D">
            <w:pPr>
              <w:rPr>
                <w:rFonts w:asciiTheme="majorBidi" w:eastAsia="Times New Roman" w:hAnsiTheme="majorBidi" w:cstheme="majorBidi"/>
                <w:i/>
                <w:iCs/>
                <w:sz w:val="20"/>
                <w:szCs w:val="20"/>
              </w:rPr>
            </w:pPr>
            <w:r w:rsidRPr="00124A08">
              <w:rPr>
                <w:rFonts w:asciiTheme="majorBidi" w:eastAsia="Times New Roman" w:hAnsiTheme="majorBidi" w:cstheme="majorBidi"/>
                <w:i/>
                <w:iCs/>
                <w:sz w:val="20"/>
                <w:szCs w:val="20"/>
              </w:rPr>
              <w:t>Fouling</w:t>
            </w:r>
          </w:p>
        </w:tc>
        <w:tc>
          <w:tcPr>
            <w:tcW w:w="0" w:type="auto"/>
            <w:hideMark/>
          </w:tcPr>
          <w:p w14:paraId="6E9F5A9D"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Deposit fluida proses</w:t>
            </w:r>
          </w:p>
        </w:tc>
        <w:tc>
          <w:tcPr>
            <w:tcW w:w="0" w:type="auto"/>
            <w:hideMark/>
          </w:tcPr>
          <w:p w14:paraId="72641DBC"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Kenaikan temperatur dan tekanan</w:t>
            </w:r>
          </w:p>
        </w:tc>
      </w:tr>
      <w:tr w:rsidR="003417AF" w:rsidRPr="00124A08" w14:paraId="40D8AF05" w14:textId="77777777" w:rsidTr="00390C3D">
        <w:trPr>
          <w:tblCellSpacing w:w="15" w:type="dxa"/>
        </w:trPr>
        <w:tc>
          <w:tcPr>
            <w:tcW w:w="0" w:type="auto"/>
            <w:hideMark/>
          </w:tcPr>
          <w:p w14:paraId="7358B8F8"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7</w:t>
            </w:r>
          </w:p>
        </w:tc>
        <w:tc>
          <w:tcPr>
            <w:tcW w:w="0" w:type="auto"/>
            <w:hideMark/>
          </w:tcPr>
          <w:p w14:paraId="2DBCE740"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HIPPS</w:t>
            </w:r>
          </w:p>
        </w:tc>
        <w:tc>
          <w:tcPr>
            <w:tcW w:w="0" w:type="auto"/>
            <w:hideMark/>
          </w:tcPr>
          <w:p w14:paraId="43003E1E"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Gagal berfungsi</w:t>
            </w:r>
          </w:p>
        </w:tc>
        <w:tc>
          <w:tcPr>
            <w:tcW w:w="0" w:type="auto"/>
            <w:hideMark/>
          </w:tcPr>
          <w:p w14:paraId="7B5BE3C1"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 xml:space="preserve">Kegagalan sistem </w:t>
            </w:r>
            <w:r w:rsidRPr="00124A08">
              <w:rPr>
                <w:rFonts w:asciiTheme="majorBidi" w:eastAsia="Times New Roman" w:hAnsiTheme="majorBidi" w:cstheme="majorBidi"/>
                <w:i/>
                <w:iCs/>
                <w:sz w:val="20"/>
                <w:szCs w:val="20"/>
              </w:rPr>
              <w:t>shutdown</w:t>
            </w:r>
          </w:p>
        </w:tc>
        <w:tc>
          <w:tcPr>
            <w:tcW w:w="0" w:type="auto"/>
            <w:hideMark/>
          </w:tcPr>
          <w:p w14:paraId="0F3D61AC"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 xml:space="preserve">Penurunan efektivitas </w:t>
            </w:r>
            <w:r w:rsidRPr="00124A08">
              <w:rPr>
                <w:rFonts w:asciiTheme="majorBidi" w:eastAsia="Times New Roman" w:hAnsiTheme="majorBidi" w:cstheme="majorBidi"/>
                <w:i/>
                <w:iCs/>
                <w:sz w:val="20"/>
                <w:szCs w:val="20"/>
              </w:rPr>
              <w:t>barrier</w:t>
            </w:r>
          </w:p>
        </w:tc>
      </w:tr>
      <w:tr w:rsidR="003417AF" w:rsidRPr="00124A08" w14:paraId="34DB35E6" w14:textId="77777777" w:rsidTr="00390C3D">
        <w:trPr>
          <w:tblCellSpacing w:w="15" w:type="dxa"/>
        </w:trPr>
        <w:tc>
          <w:tcPr>
            <w:tcW w:w="0" w:type="auto"/>
            <w:tcBorders>
              <w:bottom w:val="single" w:sz="4" w:space="0" w:color="auto"/>
            </w:tcBorders>
            <w:hideMark/>
          </w:tcPr>
          <w:p w14:paraId="53BF1ABF"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8</w:t>
            </w:r>
          </w:p>
        </w:tc>
        <w:tc>
          <w:tcPr>
            <w:tcW w:w="0" w:type="auto"/>
            <w:tcBorders>
              <w:bottom w:val="single" w:sz="4" w:space="0" w:color="auto"/>
            </w:tcBorders>
            <w:hideMark/>
          </w:tcPr>
          <w:p w14:paraId="6571F99C"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Operasi</w:t>
            </w:r>
          </w:p>
        </w:tc>
        <w:tc>
          <w:tcPr>
            <w:tcW w:w="0" w:type="auto"/>
            <w:tcBorders>
              <w:bottom w:val="single" w:sz="4" w:space="0" w:color="auto"/>
            </w:tcBorders>
            <w:hideMark/>
          </w:tcPr>
          <w:p w14:paraId="6081C8E9" w14:textId="77777777" w:rsidR="003417AF" w:rsidRPr="00124A08" w:rsidRDefault="003417AF" w:rsidP="00390C3D">
            <w:pPr>
              <w:rPr>
                <w:rFonts w:asciiTheme="majorBidi" w:eastAsia="Times New Roman" w:hAnsiTheme="majorBidi" w:cstheme="majorBidi"/>
                <w:i/>
                <w:iCs/>
                <w:sz w:val="20"/>
                <w:szCs w:val="20"/>
              </w:rPr>
            </w:pPr>
            <w:r w:rsidRPr="00124A08">
              <w:rPr>
                <w:rFonts w:asciiTheme="majorBidi" w:eastAsia="Times New Roman" w:hAnsiTheme="majorBidi" w:cstheme="majorBidi"/>
                <w:i/>
                <w:iCs/>
                <w:sz w:val="20"/>
                <w:szCs w:val="20"/>
              </w:rPr>
              <w:t>Human error</w:t>
            </w:r>
          </w:p>
        </w:tc>
        <w:tc>
          <w:tcPr>
            <w:tcW w:w="0" w:type="auto"/>
            <w:tcBorders>
              <w:bottom w:val="single" w:sz="4" w:space="0" w:color="auto"/>
            </w:tcBorders>
            <w:hideMark/>
          </w:tcPr>
          <w:p w14:paraId="6E057A6B"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Kesalahan respon operator</w:t>
            </w:r>
          </w:p>
        </w:tc>
        <w:tc>
          <w:tcPr>
            <w:tcW w:w="0" w:type="auto"/>
            <w:tcBorders>
              <w:bottom w:val="single" w:sz="4" w:space="0" w:color="auto"/>
            </w:tcBorders>
            <w:hideMark/>
          </w:tcPr>
          <w:p w14:paraId="63364AAA"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 xml:space="preserve">Keterlambatan penanganan </w:t>
            </w:r>
            <w:r w:rsidRPr="00124A08">
              <w:rPr>
                <w:rFonts w:asciiTheme="majorBidi" w:eastAsia="Times New Roman" w:hAnsiTheme="majorBidi" w:cstheme="majorBidi"/>
                <w:i/>
                <w:iCs/>
                <w:sz w:val="20"/>
                <w:szCs w:val="20"/>
              </w:rPr>
              <w:t>abnormal condition</w:t>
            </w:r>
          </w:p>
        </w:tc>
      </w:tr>
    </w:tbl>
    <w:p w14:paraId="58AF7FBC" w14:textId="77777777" w:rsidR="003417AF" w:rsidRDefault="003417AF" w:rsidP="003417AF">
      <w:pPr>
        <w:jc w:val="both"/>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Sumber: Hasil Observasi dan Olahan Data (2026)</w:t>
      </w:r>
    </w:p>
    <w:p w14:paraId="5FC43E90" w14:textId="77777777" w:rsidR="003417AF" w:rsidRPr="00124A08" w:rsidRDefault="003417AF" w:rsidP="003417AF">
      <w:pPr>
        <w:jc w:val="both"/>
        <w:rPr>
          <w:rFonts w:asciiTheme="majorBidi" w:eastAsia="Times New Roman" w:hAnsiTheme="majorBidi" w:cstheme="majorBidi"/>
          <w:sz w:val="20"/>
          <w:szCs w:val="20"/>
        </w:rPr>
      </w:pPr>
    </w:p>
    <w:p w14:paraId="06A11067" w14:textId="03A50CF1" w:rsidR="003417AF" w:rsidRPr="00124A08" w:rsidRDefault="003417AF" w:rsidP="003417AF">
      <w:pPr>
        <w:ind w:firstLine="720"/>
        <w:jc w:val="both"/>
        <w:rPr>
          <w:rFonts w:asciiTheme="majorBidi" w:eastAsia="Times New Roman" w:hAnsiTheme="majorBidi" w:cstheme="majorBidi"/>
          <w:sz w:val="22"/>
          <w:szCs w:val="22"/>
        </w:rPr>
      </w:pPr>
      <w:r w:rsidRPr="00124A08">
        <w:rPr>
          <w:rFonts w:asciiTheme="majorBidi" w:eastAsia="Times New Roman" w:hAnsiTheme="majorBidi" w:cstheme="majorBidi"/>
          <w:sz w:val="22"/>
          <w:szCs w:val="22"/>
        </w:rPr>
        <w:t xml:space="preserve">Hasil identifikasi menunjukkan bahwa sumber risiko </w:t>
      </w:r>
      <w:r w:rsidRPr="00124A08">
        <w:rPr>
          <w:rFonts w:asciiTheme="majorBidi" w:eastAsia="Times New Roman" w:hAnsiTheme="majorBidi" w:cstheme="majorBidi"/>
          <w:i/>
          <w:iCs/>
          <w:sz w:val="22"/>
          <w:szCs w:val="22"/>
        </w:rPr>
        <w:t>overpressure</w:t>
      </w:r>
      <w:r w:rsidRPr="00124A08">
        <w:rPr>
          <w:rFonts w:asciiTheme="majorBidi" w:eastAsia="Times New Roman" w:hAnsiTheme="majorBidi" w:cstheme="majorBidi"/>
          <w:sz w:val="22"/>
          <w:szCs w:val="22"/>
        </w:rPr>
        <w:t xml:space="preserve"> tidak terkonsentrasi pada satu komponen tunggal, tetapi tersebar pada subsistem yang memiliki fungsi berbeda dalam menjaga kestabilan tekanan. Temuan ini memperlihatkan bahwa risiko </w:t>
      </w:r>
      <w:r w:rsidRPr="00124A08">
        <w:rPr>
          <w:rFonts w:asciiTheme="majorBidi" w:eastAsia="Times New Roman" w:hAnsiTheme="majorBidi" w:cstheme="majorBidi"/>
          <w:i/>
          <w:iCs/>
          <w:sz w:val="22"/>
          <w:szCs w:val="22"/>
        </w:rPr>
        <w:t>overpressure</w:t>
      </w:r>
      <w:r w:rsidRPr="00124A08">
        <w:rPr>
          <w:rFonts w:asciiTheme="majorBidi" w:eastAsia="Times New Roman" w:hAnsiTheme="majorBidi" w:cstheme="majorBidi"/>
          <w:sz w:val="22"/>
          <w:szCs w:val="22"/>
        </w:rPr>
        <w:t xml:space="preserve"> pada PRU berkembang melalui kombinasi gangguan kontrol proses, penurunan performa </w:t>
      </w:r>
      <w:r w:rsidRPr="00124A08">
        <w:rPr>
          <w:rFonts w:asciiTheme="majorBidi" w:eastAsia="Times New Roman" w:hAnsiTheme="majorBidi" w:cstheme="majorBidi"/>
          <w:i/>
          <w:iCs/>
          <w:sz w:val="22"/>
          <w:szCs w:val="22"/>
        </w:rPr>
        <w:t>pressure protection system</w:t>
      </w:r>
      <w:r w:rsidRPr="00124A08">
        <w:rPr>
          <w:rFonts w:asciiTheme="majorBidi" w:eastAsia="Times New Roman" w:hAnsiTheme="majorBidi" w:cstheme="majorBidi"/>
          <w:sz w:val="22"/>
          <w:szCs w:val="22"/>
        </w:rPr>
        <w:t xml:space="preserve">, degradasi instrumentasi, dan faktor manusia. Kondisi tersebut sejalan dengan pendekatan </w:t>
      </w:r>
      <w:r w:rsidRPr="00124A08">
        <w:rPr>
          <w:rFonts w:asciiTheme="majorBidi" w:eastAsia="Times New Roman" w:hAnsiTheme="majorBidi" w:cstheme="majorBidi"/>
          <w:i/>
          <w:iCs/>
          <w:sz w:val="22"/>
          <w:szCs w:val="22"/>
        </w:rPr>
        <w:t>process safety modern</w:t>
      </w:r>
      <w:r w:rsidRPr="00124A08">
        <w:rPr>
          <w:rFonts w:asciiTheme="majorBidi" w:eastAsia="Times New Roman" w:hAnsiTheme="majorBidi" w:cstheme="majorBidi"/>
          <w:sz w:val="22"/>
          <w:szCs w:val="22"/>
        </w:rPr>
        <w:t xml:space="preserve"> yang menempatkan kecelakaan proses sebagai hasil interaksi antar </w:t>
      </w:r>
      <w:r w:rsidRPr="00124A08">
        <w:rPr>
          <w:rFonts w:asciiTheme="majorBidi" w:eastAsia="Times New Roman" w:hAnsiTheme="majorBidi" w:cstheme="majorBidi"/>
          <w:i/>
          <w:iCs/>
          <w:sz w:val="22"/>
          <w:szCs w:val="22"/>
        </w:rPr>
        <w:t>barrier</w:t>
      </w:r>
      <w:r w:rsidRPr="00124A08">
        <w:rPr>
          <w:rFonts w:asciiTheme="majorBidi" w:eastAsia="Times New Roman" w:hAnsiTheme="majorBidi" w:cstheme="majorBidi"/>
          <w:sz w:val="22"/>
          <w:szCs w:val="22"/>
        </w:rPr>
        <w:t xml:space="preserve"> dan kegagalan sistem operasi </w:t>
      </w:r>
      <w:r w:rsidR="007A70A4">
        <w:rPr>
          <w:rFonts w:asciiTheme="majorBidi" w:eastAsia="Times New Roman" w:hAnsiTheme="majorBidi" w:cstheme="majorBidi"/>
          <w:sz w:val="22"/>
          <w:szCs w:val="22"/>
        </w:rPr>
        <w:fldChar w:fldCharType="begin" w:fldLock="1"/>
      </w:r>
      <w:r w:rsidR="007A70A4">
        <w:rPr>
          <w:rFonts w:asciiTheme="majorBidi" w:eastAsia="Times New Roman" w:hAnsiTheme="majorBidi" w:cstheme="majorBidi"/>
          <w:sz w:val="22"/>
          <w:szCs w:val="22"/>
        </w:rPr>
        <w:instrText>ADDIN CSL_CITATION {"citationItems":[{"id":"ITEM-1","itemData":{"DOI":"10.1016/j.jlp.2021.104519","author":[{"dropping-particle":"","family":"Schmitz","given":"Paul","non-dropping-particle":"","parse-names":false,"suffix":""},{"dropping-particle":"","family":"Swuste","given":"Paul","non-dropping-particle":"","parse-names":false,"suffix":""},{"dropping-particle":"","family":"Reniers","given":"Genserik","non-dropping-particle":"","parse-names":false,"suffix":""},{"dropping-particle":"","family":"Nunen","given":"Karolien","non-dropping-particle":"van","parse-names":false,"suffix":""}],"container-title":"Journal of Loss Prevention in the Process Industries","id":"ITEM-1","issued":{"date-parts":[["2021"]]},"page":"104519","title":"Predicting Major Accidents in the Process Industry Based on the Barrier Status at Scenario Level: A Practical Approach","type":"article-journal","volume":"71"},"uris":["http://www.mendeley.com/documents/?uuid=0b0b6406-c740-4aad-9aa3-67343333f3f9"]},{"id":"ITEM-2","itemData":{"DOI":"https://doi.org/10.1016/j.spc.2023.08.013","ISSN":"2352-5509","abstract":"Recirculating aquaculture systems (RASs) have been identified as having high potential for aquaculture development, attributed to their significant advantages, such as higher productivity, reduced water consumption, and improved sustainability. However, increased energy requirements due to the high amount of water recycling and temperature control leads to high operational costs and added environmental impacts from the use of fossil fuels, causing a barrier to their widespread deployment. This study examines the potential for renewable energy integration with RASs to improve their financial and environmental feasibility, while also presenting an overview of its potential and challenges for system optimisation modelling, which is presently absent in the existing literature. Renewable energy coupled with more efficient practices through process integration and advanced monitoring has the potential to make the system more sustainable and profitable. This study offers a comprehensive understanding of the sustainability challenges concerning energy demands in RASs, the significant potential for growth by adopting renewable energy and wider dynamic systems optimisation modelling, and directions for problem-solving using energy optimisation models. To address the challenges of intermittency and instability that arise in the development of renewable energy for RAS, more research on economic and energy optimisation is needed to meet the requirements of design, planning, scheduling, operation, and control of aquaculture. Systematic decision-making guidelines for greater energy efficiency in aquaculture based on system optimisation modelling can improve the sustainability of aquaculture and help to address UN Sustainability Development Goals (SDGs). With new technological advances in renewable energy, artificial intelligence and water treatment, system-based optimisation models may help identifying which renewable energy types, technology options and energy efficiency improvements should be integrated into different aquaculture systems to transform the economic competitiveness and sustainability of the industry.","author":[{"dropping-particle":"","family":"Zhang","given":"Ruosi","non-dropping-particle":"","parse-names":false,"suffix":""},{"dropping-particle":"","family":"Chen","given":"Tao","non-dropping-particle":"","parse-names":false,"suffix":""},{"dropping-particle":"","family":"Wang","given":"Yang","non-dropping-particle":"","parse-names":false,"suffix":""},{"dropping-particle":"","family":"Short","given":"Michael","non-dropping-particle":"","parse-names":false,"suffix":""}],"container-title":"Sustainable Production and Consumption","id":"ITEM-2","issued":{"date-parts":[["2023"]]},"page":"242-252","title":"Systems approaches for sustainable fisheries: A comprehensive review and future perspectives","type":"article-journal","volume":"41"},"uris":["http://www.mendeley.com/documents/?uuid=4dc68624-e0d2-466d-8690-41c366ead09d"]}],"mendeley":{"formattedCitation":"[4], [34]","plainTextFormattedCitation":"[4], [34]","previouslyFormattedCitation":"[4], [34]"},"properties":{"noteIndex":0},"schema":"https://github.com/citation-style-language/schema/raw/master/csl-citation.json"}</w:instrText>
      </w:r>
      <w:r w:rsidR="007A70A4">
        <w:rPr>
          <w:rFonts w:asciiTheme="majorBidi" w:eastAsia="Times New Roman" w:hAnsiTheme="majorBidi" w:cstheme="majorBidi"/>
          <w:sz w:val="22"/>
          <w:szCs w:val="22"/>
        </w:rPr>
        <w:fldChar w:fldCharType="separate"/>
      </w:r>
      <w:r w:rsidR="007A70A4" w:rsidRPr="007A70A4">
        <w:rPr>
          <w:rFonts w:asciiTheme="majorBidi" w:eastAsia="Times New Roman" w:hAnsiTheme="majorBidi" w:cstheme="majorBidi"/>
          <w:noProof/>
          <w:sz w:val="22"/>
          <w:szCs w:val="22"/>
        </w:rPr>
        <w:t>[4], [34]</w:t>
      </w:r>
      <w:r w:rsidR="007A70A4">
        <w:rPr>
          <w:rFonts w:asciiTheme="majorBidi" w:eastAsia="Times New Roman" w:hAnsiTheme="majorBidi" w:cstheme="majorBidi"/>
          <w:sz w:val="22"/>
          <w:szCs w:val="22"/>
        </w:rPr>
        <w:fldChar w:fldCharType="end"/>
      </w:r>
      <w:r w:rsidRPr="00124A08">
        <w:rPr>
          <w:rFonts w:asciiTheme="majorBidi" w:eastAsia="Times New Roman" w:hAnsiTheme="majorBidi" w:cstheme="majorBidi"/>
          <w:sz w:val="22"/>
          <w:szCs w:val="22"/>
        </w:rPr>
        <w:t>.</w:t>
      </w:r>
    </w:p>
    <w:p w14:paraId="6BFEFD15" w14:textId="77777777" w:rsidR="003417AF" w:rsidRPr="00124A08" w:rsidRDefault="003417AF" w:rsidP="003417AF">
      <w:pPr>
        <w:jc w:val="both"/>
        <w:rPr>
          <w:rFonts w:asciiTheme="majorBidi" w:eastAsia="Times New Roman" w:hAnsiTheme="majorBidi" w:cstheme="majorBidi"/>
          <w:sz w:val="22"/>
          <w:szCs w:val="22"/>
        </w:rPr>
      </w:pPr>
    </w:p>
    <w:p w14:paraId="303FFB47" w14:textId="77777777" w:rsidR="003417AF" w:rsidRPr="00124A08" w:rsidRDefault="003417AF" w:rsidP="003417AF">
      <w:pPr>
        <w:jc w:val="both"/>
        <w:outlineLvl w:val="1"/>
        <w:rPr>
          <w:rFonts w:asciiTheme="majorBidi" w:eastAsia="Times New Roman" w:hAnsiTheme="majorBidi" w:cstheme="majorBidi"/>
          <w:b/>
          <w:bCs/>
          <w:sz w:val="22"/>
          <w:szCs w:val="22"/>
        </w:rPr>
      </w:pPr>
      <w:r w:rsidRPr="00124A08">
        <w:rPr>
          <w:rFonts w:asciiTheme="majorBidi" w:eastAsia="Times New Roman" w:hAnsiTheme="majorBidi" w:cstheme="majorBidi"/>
          <w:b/>
          <w:bCs/>
          <w:sz w:val="22"/>
          <w:szCs w:val="22"/>
        </w:rPr>
        <w:t>b. Hasil Penilaian Risiko FMEA</w:t>
      </w:r>
    </w:p>
    <w:p w14:paraId="219794F5" w14:textId="77777777" w:rsidR="003417AF" w:rsidRPr="00124A08" w:rsidRDefault="003417AF" w:rsidP="003417AF">
      <w:pPr>
        <w:ind w:firstLine="720"/>
        <w:jc w:val="both"/>
        <w:rPr>
          <w:rFonts w:asciiTheme="majorBidi" w:eastAsia="Times New Roman" w:hAnsiTheme="majorBidi" w:cstheme="majorBidi"/>
          <w:sz w:val="22"/>
          <w:szCs w:val="22"/>
        </w:rPr>
      </w:pPr>
      <w:r w:rsidRPr="00124A08">
        <w:rPr>
          <w:rFonts w:asciiTheme="majorBidi" w:eastAsia="Times New Roman" w:hAnsiTheme="majorBidi" w:cstheme="majorBidi"/>
          <w:sz w:val="22"/>
          <w:szCs w:val="22"/>
        </w:rPr>
        <w:t xml:space="preserve">Penilaian risiko dilakukan menggunakan parameter </w:t>
      </w:r>
      <w:r w:rsidRPr="00124A08">
        <w:rPr>
          <w:rFonts w:asciiTheme="majorBidi" w:eastAsia="Times New Roman" w:hAnsiTheme="majorBidi" w:cstheme="majorBidi"/>
          <w:i/>
          <w:iCs/>
          <w:sz w:val="22"/>
          <w:szCs w:val="22"/>
        </w:rPr>
        <w:t>severity</w:t>
      </w:r>
      <w:r w:rsidRPr="00124A08">
        <w:rPr>
          <w:rFonts w:asciiTheme="majorBidi" w:eastAsia="Times New Roman" w:hAnsiTheme="majorBidi" w:cstheme="majorBidi"/>
          <w:sz w:val="22"/>
          <w:szCs w:val="22"/>
        </w:rPr>
        <w:t xml:space="preserve">, </w:t>
      </w:r>
      <w:r w:rsidRPr="00124A08">
        <w:rPr>
          <w:rFonts w:asciiTheme="majorBidi" w:eastAsia="Times New Roman" w:hAnsiTheme="majorBidi" w:cstheme="majorBidi"/>
          <w:i/>
          <w:iCs/>
          <w:sz w:val="22"/>
          <w:szCs w:val="22"/>
        </w:rPr>
        <w:t>occurrence</w:t>
      </w:r>
      <w:r w:rsidRPr="00124A08">
        <w:rPr>
          <w:rFonts w:asciiTheme="majorBidi" w:eastAsia="Times New Roman" w:hAnsiTheme="majorBidi" w:cstheme="majorBidi"/>
          <w:sz w:val="22"/>
          <w:szCs w:val="22"/>
        </w:rPr>
        <w:t xml:space="preserve">, dan </w:t>
      </w:r>
      <w:r w:rsidRPr="00124A08">
        <w:rPr>
          <w:rFonts w:asciiTheme="majorBidi" w:eastAsia="Times New Roman" w:hAnsiTheme="majorBidi" w:cstheme="majorBidi"/>
          <w:i/>
          <w:iCs/>
          <w:sz w:val="22"/>
          <w:szCs w:val="22"/>
        </w:rPr>
        <w:t>detection</w:t>
      </w:r>
      <w:r w:rsidRPr="00124A08">
        <w:rPr>
          <w:rFonts w:asciiTheme="majorBidi" w:eastAsia="Times New Roman" w:hAnsiTheme="majorBidi" w:cstheme="majorBidi"/>
          <w:sz w:val="22"/>
          <w:szCs w:val="22"/>
        </w:rPr>
        <w:t xml:space="preserve"> untuk menentukan nilai </w:t>
      </w:r>
      <w:r w:rsidRPr="00124A08">
        <w:rPr>
          <w:rFonts w:asciiTheme="majorBidi" w:eastAsia="Times New Roman" w:hAnsiTheme="majorBidi" w:cstheme="majorBidi"/>
          <w:i/>
          <w:iCs/>
          <w:sz w:val="22"/>
          <w:szCs w:val="22"/>
        </w:rPr>
        <w:t>Risk Priority Number</w:t>
      </w:r>
      <w:r w:rsidRPr="00124A08">
        <w:rPr>
          <w:rFonts w:asciiTheme="majorBidi" w:eastAsia="Times New Roman" w:hAnsiTheme="majorBidi" w:cstheme="majorBidi"/>
          <w:sz w:val="22"/>
          <w:szCs w:val="22"/>
        </w:rPr>
        <w:t xml:space="preserve"> (RPN) pada setiap </w:t>
      </w:r>
      <w:r w:rsidRPr="00124A08">
        <w:rPr>
          <w:rFonts w:asciiTheme="majorBidi" w:eastAsia="Times New Roman" w:hAnsiTheme="majorBidi" w:cstheme="majorBidi"/>
          <w:i/>
          <w:iCs/>
          <w:sz w:val="22"/>
          <w:szCs w:val="22"/>
        </w:rPr>
        <w:t>failure</w:t>
      </w:r>
      <w:r w:rsidRPr="00124A08">
        <w:rPr>
          <w:rFonts w:asciiTheme="majorBidi" w:eastAsia="Times New Roman" w:hAnsiTheme="majorBidi" w:cstheme="majorBidi"/>
          <w:sz w:val="22"/>
          <w:szCs w:val="22"/>
        </w:rPr>
        <w:t xml:space="preserve"> mode. </w:t>
      </w:r>
      <w:r w:rsidRPr="00124A08">
        <w:rPr>
          <w:rFonts w:asciiTheme="majorBidi" w:eastAsia="Times New Roman" w:hAnsiTheme="majorBidi" w:cstheme="majorBidi"/>
          <w:i/>
          <w:iCs/>
          <w:sz w:val="22"/>
          <w:szCs w:val="22"/>
        </w:rPr>
        <w:t>Severity</w:t>
      </w:r>
      <w:r w:rsidRPr="00124A08">
        <w:rPr>
          <w:rFonts w:asciiTheme="majorBidi" w:eastAsia="Times New Roman" w:hAnsiTheme="majorBidi" w:cstheme="majorBidi"/>
          <w:sz w:val="22"/>
          <w:szCs w:val="22"/>
        </w:rPr>
        <w:t xml:space="preserve"> menunjukkan tingkat dampak kegagalan terhadap keselamatan proses dan operasi. </w:t>
      </w:r>
      <w:r w:rsidRPr="00124A08">
        <w:rPr>
          <w:rFonts w:asciiTheme="majorBidi" w:eastAsia="Times New Roman" w:hAnsiTheme="majorBidi" w:cstheme="majorBidi"/>
          <w:i/>
          <w:iCs/>
          <w:sz w:val="22"/>
          <w:szCs w:val="22"/>
        </w:rPr>
        <w:t>Occurrence</w:t>
      </w:r>
      <w:r w:rsidRPr="00124A08">
        <w:rPr>
          <w:rFonts w:asciiTheme="majorBidi" w:eastAsia="Times New Roman" w:hAnsiTheme="majorBidi" w:cstheme="majorBidi"/>
          <w:sz w:val="22"/>
          <w:szCs w:val="22"/>
        </w:rPr>
        <w:t xml:space="preserve"> menunjukkan peluang kegagalan terjadi selama operasi PRU, sedangkan </w:t>
      </w:r>
      <w:r w:rsidRPr="00124A08">
        <w:rPr>
          <w:rFonts w:asciiTheme="majorBidi" w:eastAsia="Times New Roman" w:hAnsiTheme="majorBidi" w:cstheme="majorBidi"/>
          <w:i/>
          <w:iCs/>
          <w:sz w:val="22"/>
          <w:szCs w:val="22"/>
        </w:rPr>
        <w:t>detection</w:t>
      </w:r>
      <w:r w:rsidRPr="00124A08">
        <w:rPr>
          <w:rFonts w:asciiTheme="majorBidi" w:eastAsia="Times New Roman" w:hAnsiTheme="majorBidi" w:cstheme="majorBidi"/>
          <w:sz w:val="22"/>
          <w:szCs w:val="22"/>
        </w:rPr>
        <w:t xml:space="preserve"> menunjukkan kemampuan sistem mendeteksi kegagalan sebelum berkembang menjadi kondisi kritis.</w:t>
      </w:r>
    </w:p>
    <w:p w14:paraId="4F3A3D64" w14:textId="152A7EE7" w:rsidR="003417AF" w:rsidRDefault="003417AF" w:rsidP="003417AF">
      <w:pPr>
        <w:ind w:firstLine="720"/>
        <w:jc w:val="both"/>
        <w:rPr>
          <w:rFonts w:asciiTheme="majorBidi" w:eastAsia="Times New Roman" w:hAnsiTheme="majorBidi" w:cstheme="majorBidi"/>
          <w:sz w:val="22"/>
          <w:szCs w:val="22"/>
        </w:rPr>
      </w:pPr>
      <w:r w:rsidRPr="00124A08">
        <w:rPr>
          <w:rFonts w:asciiTheme="majorBidi" w:eastAsia="Times New Roman" w:hAnsiTheme="majorBidi" w:cstheme="majorBidi"/>
          <w:sz w:val="22"/>
          <w:szCs w:val="22"/>
        </w:rPr>
        <w:t xml:space="preserve">Hasil perhitungan menunjukkan bahwa </w:t>
      </w:r>
      <w:r w:rsidRPr="00124A08">
        <w:rPr>
          <w:rFonts w:asciiTheme="majorBidi" w:eastAsia="Times New Roman" w:hAnsiTheme="majorBidi" w:cstheme="majorBidi"/>
          <w:i/>
          <w:iCs/>
          <w:sz w:val="22"/>
          <w:szCs w:val="22"/>
        </w:rPr>
        <w:t>human error</w:t>
      </w:r>
      <w:r w:rsidRPr="00124A08">
        <w:rPr>
          <w:rFonts w:asciiTheme="majorBidi" w:eastAsia="Times New Roman" w:hAnsiTheme="majorBidi" w:cstheme="majorBidi"/>
          <w:sz w:val="22"/>
          <w:szCs w:val="22"/>
        </w:rPr>
        <w:t xml:space="preserve"> operasi memiliki nilai RPN tertinggi sebesar 280. Nilai tersebut diperoleh dari kombinasi </w:t>
      </w:r>
      <w:r w:rsidRPr="00124A08">
        <w:rPr>
          <w:rFonts w:asciiTheme="majorBidi" w:eastAsia="Times New Roman" w:hAnsiTheme="majorBidi" w:cstheme="majorBidi"/>
          <w:i/>
          <w:iCs/>
          <w:sz w:val="22"/>
          <w:szCs w:val="22"/>
        </w:rPr>
        <w:t>severity</w:t>
      </w:r>
      <w:r w:rsidRPr="00124A08">
        <w:rPr>
          <w:rFonts w:asciiTheme="majorBidi" w:eastAsia="Times New Roman" w:hAnsiTheme="majorBidi" w:cstheme="majorBidi"/>
          <w:sz w:val="22"/>
          <w:szCs w:val="22"/>
        </w:rPr>
        <w:t xml:space="preserve"> tinggi, frekuensi kejadian yang relatif besar, dan kemampuan deteksi yang masih terbatas. </w:t>
      </w:r>
      <w:r w:rsidRPr="00124A08">
        <w:rPr>
          <w:rFonts w:asciiTheme="majorBidi" w:eastAsia="Times New Roman" w:hAnsiTheme="majorBidi" w:cstheme="majorBidi"/>
          <w:i/>
          <w:iCs/>
          <w:sz w:val="22"/>
          <w:szCs w:val="22"/>
        </w:rPr>
        <w:t>Pressure transmitter error</w:t>
      </w:r>
      <w:r w:rsidRPr="00124A08">
        <w:rPr>
          <w:rFonts w:asciiTheme="majorBidi" w:eastAsia="Times New Roman" w:hAnsiTheme="majorBidi" w:cstheme="majorBidi"/>
          <w:sz w:val="22"/>
          <w:szCs w:val="22"/>
        </w:rPr>
        <w:t xml:space="preserve"> memiliki nilai RPN sebesar 245 karena kesalahan pembacaan tekanan dapat menyebabkan kontrol proses memberikan respon yang tidak sesuai kondisi aktual. PRV/PSV </w:t>
      </w:r>
      <w:r w:rsidRPr="00124A08">
        <w:rPr>
          <w:rFonts w:asciiTheme="majorBidi" w:eastAsia="Times New Roman" w:hAnsiTheme="majorBidi" w:cstheme="majorBidi"/>
          <w:i/>
          <w:iCs/>
          <w:sz w:val="22"/>
          <w:szCs w:val="22"/>
        </w:rPr>
        <w:t>stuck</w:t>
      </w:r>
      <w:r w:rsidRPr="00124A08">
        <w:rPr>
          <w:rFonts w:asciiTheme="majorBidi" w:eastAsia="Times New Roman" w:hAnsiTheme="majorBidi" w:cstheme="majorBidi"/>
          <w:sz w:val="22"/>
          <w:szCs w:val="22"/>
        </w:rPr>
        <w:t xml:space="preserve"> dan </w:t>
      </w:r>
      <w:r w:rsidRPr="00124A08">
        <w:rPr>
          <w:rFonts w:asciiTheme="majorBidi" w:eastAsia="Times New Roman" w:hAnsiTheme="majorBidi" w:cstheme="majorBidi"/>
          <w:i/>
          <w:iCs/>
          <w:sz w:val="22"/>
          <w:szCs w:val="22"/>
        </w:rPr>
        <w:t>control valve stuck</w:t>
      </w:r>
      <w:r w:rsidRPr="00124A08">
        <w:rPr>
          <w:rFonts w:asciiTheme="majorBidi" w:eastAsia="Times New Roman" w:hAnsiTheme="majorBidi" w:cstheme="majorBidi"/>
          <w:sz w:val="22"/>
          <w:szCs w:val="22"/>
        </w:rPr>
        <w:t xml:space="preserve"> masing-masing memiliki nilai RPN sebesar 240 karena kedua komponen tersebut berhubungan langsung dengan pengendalian dan pelepasan tekanan proses.</w:t>
      </w:r>
    </w:p>
    <w:p w14:paraId="1A53129A" w14:textId="77777777" w:rsidR="007A70A4" w:rsidRPr="00124A08" w:rsidRDefault="007A70A4" w:rsidP="003417AF">
      <w:pPr>
        <w:ind w:firstLine="720"/>
        <w:jc w:val="both"/>
        <w:rPr>
          <w:rFonts w:asciiTheme="majorBidi" w:eastAsia="Times New Roman" w:hAnsiTheme="majorBidi" w:cstheme="majorBidi"/>
          <w:sz w:val="22"/>
          <w:szCs w:val="22"/>
        </w:rPr>
      </w:pPr>
    </w:p>
    <w:p w14:paraId="0851FCA0" w14:textId="77777777" w:rsidR="003417AF" w:rsidRPr="00124A08" w:rsidRDefault="003417AF" w:rsidP="003417AF">
      <w:pPr>
        <w:jc w:val="center"/>
        <w:outlineLvl w:val="2"/>
        <w:rPr>
          <w:rFonts w:asciiTheme="majorBidi" w:eastAsia="Times New Roman" w:hAnsiTheme="majorBidi" w:cstheme="majorBidi"/>
          <w:b/>
          <w:bCs/>
          <w:sz w:val="22"/>
          <w:szCs w:val="22"/>
        </w:rPr>
      </w:pPr>
      <w:r w:rsidRPr="00124A08">
        <w:rPr>
          <w:rFonts w:asciiTheme="majorBidi" w:eastAsia="Times New Roman" w:hAnsiTheme="majorBidi" w:cstheme="majorBidi"/>
          <w:b/>
          <w:bCs/>
          <w:sz w:val="22"/>
          <w:szCs w:val="22"/>
        </w:rPr>
        <w:lastRenderedPageBreak/>
        <w:t>Tabel 3. Hasil Penilaian Risiko FMEA pada PRU</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6"/>
        <w:gridCol w:w="3983"/>
        <w:gridCol w:w="250"/>
        <w:gridCol w:w="315"/>
        <w:gridCol w:w="298"/>
        <w:gridCol w:w="706"/>
        <w:gridCol w:w="1804"/>
        <w:gridCol w:w="1249"/>
      </w:tblGrid>
      <w:tr w:rsidR="003417AF" w:rsidRPr="00124A08" w14:paraId="2C018990" w14:textId="77777777" w:rsidTr="00390C3D">
        <w:trPr>
          <w:tblHeader/>
          <w:tblCellSpacing w:w="15" w:type="dxa"/>
        </w:trPr>
        <w:tc>
          <w:tcPr>
            <w:tcW w:w="233" w:type="pct"/>
            <w:tcBorders>
              <w:top w:val="single" w:sz="4" w:space="0" w:color="auto"/>
              <w:bottom w:val="single" w:sz="4" w:space="0" w:color="auto"/>
            </w:tcBorders>
            <w:vAlign w:val="center"/>
            <w:hideMark/>
          </w:tcPr>
          <w:p w14:paraId="4C552AB1" w14:textId="77777777" w:rsidR="003417AF" w:rsidRPr="00124A08" w:rsidRDefault="003417AF" w:rsidP="00390C3D">
            <w:pPr>
              <w:jc w:val="center"/>
              <w:rPr>
                <w:rFonts w:asciiTheme="majorBidi" w:eastAsia="Times New Roman" w:hAnsiTheme="majorBidi" w:cstheme="majorBidi"/>
                <w:b/>
                <w:bCs/>
                <w:sz w:val="20"/>
                <w:szCs w:val="20"/>
              </w:rPr>
            </w:pPr>
            <w:r w:rsidRPr="00124A08">
              <w:rPr>
                <w:rFonts w:asciiTheme="majorBidi" w:eastAsia="Times New Roman" w:hAnsiTheme="majorBidi" w:cstheme="majorBidi"/>
                <w:b/>
                <w:bCs/>
                <w:sz w:val="20"/>
                <w:szCs w:val="20"/>
              </w:rPr>
              <w:t>No</w:t>
            </w:r>
          </w:p>
        </w:tc>
        <w:tc>
          <w:tcPr>
            <w:tcW w:w="2182" w:type="pct"/>
            <w:tcBorders>
              <w:top w:val="single" w:sz="4" w:space="0" w:color="auto"/>
              <w:bottom w:val="single" w:sz="4" w:space="0" w:color="auto"/>
            </w:tcBorders>
            <w:vAlign w:val="center"/>
            <w:hideMark/>
          </w:tcPr>
          <w:p w14:paraId="7A53945A" w14:textId="77777777" w:rsidR="003417AF" w:rsidRPr="00124A08" w:rsidRDefault="003417AF" w:rsidP="00390C3D">
            <w:pPr>
              <w:jc w:val="center"/>
              <w:rPr>
                <w:rFonts w:asciiTheme="majorBidi" w:eastAsia="Times New Roman" w:hAnsiTheme="majorBidi" w:cstheme="majorBidi"/>
                <w:b/>
                <w:bCs/>
                <w:sz w:val="20"/>
                <w:szCs w:val="20"/>
              </w:rPr>
            </w:pPr>
            <w:r w:rsidRPr="00124A08">
              <w:rPr>
                <w:rFonts w:asciiTheme="majorBidi" w:eastAsia="Times New Roman" w:hAnsiTheme="majorBidi" w:cstheme="majorBidi"/>
                <w:b/>
                <w:bCs/>
                <w:sz w:val="20"/>
                <w:szCs w:val="20"/>
              </w:rPr>
              <w:t>Failure Mode</w:t>
            </w:r>
          </w:p>
        </w:tc>
        <w:tc>
          <w:tcPr>
            <w:tcW w:w="121" w:type="pct"/>
            <w:tcBorders>
              <w:top w:val="single" w:sz="4" w:space="0" w:color="auto"/>
              <w:bottom w:val="single" w:sz="4" w:space="0" w:color="auto"/>
            </w:tcBorders>
            <w:vAlign w:val="center"/>
            <w:hideMark/>
          </w:tcPr>
          <w:p w14:paraId="736F288B" w14:textId="77777777" w:rsidR="003417AF" w:rsidRPr="00124A08" w:rsidRDefault="003417AF" w:rsidP="00390C3D">
            <w:pPr>
              <w:jc w:val="center"/>
              <w:rPr>
                <w:rFonts w:asciiTheme="majorBidi" w:eastAsia="Times New Roman" w:hAnsiTheme="majorBidi" w:cstheme="majorBidi"/>
                <w:b/>
                <w:bCs/>
                <w:sz w:val="20"/>
                <w:szCs w:val="20"/>
              </w:rPr>
            </w:pPr>
            <w:r w:rsidRPr="00124A08">
              <w:rPr>
                <w:rFonts w:asciiTheme="majorBidi" w:eastAsia="Times New Roman" w:hAnsiTheme="majorBidi" w:cstheme="majorBidi"/>
                <w:b/>
                <w:bCs/>
                <w:sz w:val="20"/>
                <w:szCs w:val="20"/>
              </w:rPr>
              <w:t>S</w:t>
            </w:r>
          </w:p>
        </w:tc>
        <w:tc>
          <w:tcPr>
            <w:tcW w:w="157" w:type="pct"/>
            <w:tcBorders>
              <w:top w:val="single" w:sz="4" w:space="0" w:color="auto"/>
              <w:bottom w:val="single" w:sz="4" w:space="0" w:color="auto"/>
            </w:tcBorders>
            <w:vAlign w:val="center"/>
            <w:hideMark/>
          </w:tcPr>
          <w:p w14:paraId="0A735369" w14:textId="77777777" w:rsidR="003417AF" w:rsidRPr="00124A08" w:rsidRDefault="003417AF" w:rsidP="00390C3D">
            <w:pPr>
              <w:jc w:val="center"/>
              <w:rPr>
                <w:rFonts w:asciiTheme="majorBidi" w:eastAsia="Times New Roman" w:hAnsiTheme="majorBidi" w:cstheme="majorBidi"/>
                <w:b/>
                <w:bCs/>
                <w:sz w:val="20"/>
                <w:szCs w:val="20"/>
              </w:rPr>
            </w:pPr>
            <w:r w:rsidRPr="00124A08">
              <w:rPr>
                <w:rFonts w:asciiTheme="majorBidi" w:eastAsia="Times New Roman" w:hAnsiTheme="majorBidi" w:cstheme="majorBidi"/>
                <w:b/>
                <w:bCs/>
                <w:sz w:val="20"/>
                <w:szCs w:val="20"/>
              </w:rPr>
              <w:t>O</w:t>
            </w:r>
          </w:p>
        </w:tc>
        <w:tc>
          <w:tcPr>
            <w:tcW w:w="148" w:type="pct"/>
            <w:tcBorders>
              <w:top w:val="single" w:sz="4" w:space="0" w:color="auto"/>
              <w:bottom w:val="single" w:sz="4" w:space="0" w:color="auto"/>
            </w:tcBorders>
            <w:vAlign w:val="center"/>
            <w:hideMark/>
          </w:tcPr>
          <w:p w14:paraId="0553A0D0" w14:textId="77777777" w:rsidR="003417AF" w:rsidRPr="00124A08" w:rsidRDefault="003417AF" w:rsidP="00390C3D">
            <w:pPr>
              <w:jc w:val="center"/>
              <w:rPr>
                <w:rFonts w:asciiTheme="majorBidi" w:eastAsia="Times New Roman" w:hAnsiTheme="majorBidi" w:cstheme="majorBidi"/>
                <w:b/>
                <w:bCs/>
                <w:sz w:val="20"/>
                <w:szCs w:val="20"/>
              </w:rPr>
            </w:pPr>
            <w:r w:rsidRPr="00124A08">
              <w:rPr>
                <w:rFonts w:asciiTheme="majorBidi" w:eastAsia="Times New Roman" w:hAnsiTheme="majorBidi" w:cstheme="majorBidi"/>
                <w:b/>
                <w:bCs/>
                <w:sz w:val="20"/>
                <w:szCs w:val="20"/>
              </w:rPr>
              <w:t>D</w:t>
            </w:r>
          </w:p>
        </w:tc>
        <w:tc>
          <w:tcPr>
            <w:tcW w:w="373" w:type="pct"/>
            <w:tcBorders>
              <w:top w:val="single" w:sz="4" w:space="0" w:color="auto"/>
              <w:bottom w:val="single" w:sz="4" w:space="0" w:color="auto"/>
            </w:tcBorders>
            <w:vAlign w:val="center"/>
            <w:hideMark/>
          </w:tcPr>
          <w:p w14:paraId="744D11D8" w14:textId="77777777" w:rsidR="003417AF" w:rsidRPr="00124A08" w:rsidRDefault="003417AF" w:rsidP="00390C3D">
            <w:pPr>
              <w:jc w:val="center"/>
              <w:rPr>
                <w:rFonts w:asciiTheme="majorBidi" w:eastAsia="Times New Roman" w:hAnsiTheme="majorBidi" w:cstheme="majorBidi"/>
                <w:b/>
                <w:bCs/>
                <w:sz w:val="20"/>
                <w:szCs w:val="20"/>
              </w:rPr>
            </w:pPr>
            <w:r w:rsidRPr="00124A08">
              <w:rPr>
                <w:rFonts w:asciiTheme="majorBidi" w:eastAsia="Times New Roman" w:hAnsiTheme="majorBidi" w:cstheme="majorBidi"/>
                <w:b/>
                <w:bCs/>
                <w:sz w:val="20"/>
                <w:szCs w:val="20"/>
              </w:rPr>
              <w:t>RPN</w:t>
            </w:r>
          </w:p>
        </w:tc>
        <w:tc>
          <w:tcPr>
            <w:tcW w:w="979" w:type="pct"/>
            <w:tcBorders>
              <w:top w:val="single" w:sz="4" w:space="0" w:color="auto"/>
              <w:bottom w:val="single" w:sz="4" w:space="0" w:color="auto"/>
            </w:tcBorders>
            <w:vAlign w:val="center"/>
            <w:hideMark/>
          </w:tcPr>
          <w:p w14:paraId="4BB273D8" w14:textId="77777777" w:rsidR="003417AF" w:rsidRPr="00124A08" w:rsidRDefault="003417AF" w:rsidP="00390C3D">
            <w:pPr>
              <w:jc w:val="center"/>
              <w:rPr>
                <w:rFonts w:asciiTheme="majorBidi" w:eastAsia="Times New Roman" w:hAnsiTheme="majorBidi" w:cstheme="majorBidi"/>
                <w:b/>
                <w:bCs/>
                <w:sz w:val="20"/>
                <w:szCs w:val="20"/>
              </w:rPr>
            </w:pPr>
            <w:r w:rsidRPr="00124A08">
              <w:rPr>
                <w:rFonts w:asciiTheme="majorBidi" w:eastAsia="Times New Roman" w:hAnsiTheme="majorBidi" w:cstheme="majorBidi"/>
                <w:b/>
                <w:bCs/>
                <w:sz w:val="20"/>
                <w:szCs w:val="20"/>
              </w:rPr>
              <w:t>Kategori</w:t>
            </w:r>
          </w:p>
        </w:tc>
        <w:tc>
          <w:tcPr>
            <w:tcW w:w="665" w:type="pct"/>
            <w:tcBorders>
              <w:top w:val="single" w:sz="4" w:space="0" w:color="auto"/>
              <w:bottom w:val="single" w:sz="4" w:space="0" w:color="auto"/>
            </w:tcBorders>
            <w:vAlign w:val="center"/>
            <w:hideMark/>
          </w:tcPr>
          <w:p w14:paraId="1813005C" w14:textId="77777777" w:rsidR="003417AF" w:rsidRPr="00124A08" w:rsidRDefault="003417AF" w:rsidP="00390C3D">
            <w:pPr>
              <w:jc w:val="center"/>
              <w:rPr>
                <w:rFonts w:asciiTheme="majorBidi" w:eastAsia="Times New Roman" w:hAnsiTheme="majorBidi" w:cstheme="majorBidi"/>
                <w:b/>
                <w:bCs/>
                <w:sz w:val="20"/>
                <w:szCs w:val="20"/>
              </w:rPr>
            </w:pPr>
            <w:r w:rsidRPr="00124A08">
              <w:rPr>
                <w:rFonts w:asciiTheme="majorBidi" w:eastAsia="Times New Roman" w:hAnsiTheme="majorBidi" w:cstheme="majorBidi"/>
                <w:b/>
                <w:bCs/>
                <w:sz w:val="20"/>
                <w:szCs w:val="20"/>
              </w:rPr>
              <w:t>Prioritas</w:t>
            </w:r>
          </w:p>
        </w:tc>
      </w:tr>
      <w:tr w:rsidR="003417AF" w:rsidRPr="00124A08" w14:paraId="41E3203B" w14:textId="77777777" w:rsidTr="00390C3D">
        <w:trPr>
          <w:tblCellSpacing w:w="15" w:type="dxa"/>
        </w:trPr>
        <w:tc>
          <w:tcPr>
            <w:tcW w:w="233" w:type="pct"/>
            <w:vAlign w:val="center"/>
            <w:hideMark/>
          </w:tcPr>
          <w:p w14:paraId="52071F5F"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1</w:t>
            </w:r>
          </w:p>
        </w:tc>
        <w:tc>
          <w:tcPr>
            <w:tcW w:w="2182" w:type="pct"/>
            <w:vAlign w:val="center"/>
            <w:hideMark/>
          </w:tcPr>
          <w:p w14:paraId="764B52FB"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Human error operasi</w:t>
            </w:r>
          </w:p>
        </w:tc>
        <w:tc>
          <w:tcPr>
            <w:tcW w:w="121" w:type="pct"/>
            <w:vAlign w:val="center"/>
            <w:hideMark/>
          </w:tcPr>
          <w:p w14:paraId="42BB4E5C"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8</w:t>
            </w:r>
          </w:p>
        </w:tc>
        <w:tc>
          <w:tcPr>
            <w:tcW w:w="157" w:type="pct"/>
            <w:vAlign w:val="center"/>
            <w:hideMark/>
          </w:tcPr>
          <w:p w14:paraId="26B9FDE9"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7</w:t>
            </w:r>
          </w:p>
        </w:tc>
        <w:tc>
          <w:tcPr>
            <w:tcW w:w="148" w:type="pct"/>
            <w:vAlign w:val="center"/>
            <w:hideMark/>
          </w:tcPr>
          <w:p w14:paraId="484E88FE"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5</w:t>
            </w:r>
          </w:p>
        </w:tc>
        <w:tc>
          <w:tcPr>
            <w:tcW w:w="373" w:type="pct"/>
            <w:vAlign w:val="center"/>
            <w:hideMark/>
          </w:tcPr>
          <w:p w14:paraId="07EA5EB4"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280</w:t>
            </w:r>
          </w:p>
        </w:tc>
        <w:tc>
          <w:tcPr>
            <w:tcW w:w="979" w:type="pct"/>
            <w:vAlign w:val="center"/>
            <w:hideMark/>
          </w:tcPr>
          <w:p w14:paraId="453FDE7B"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Sangat Tinggi</w:t>
            </w:r>
          </w:p>
        </w:tc>
        <w:tc>
          <w:tcPr>
            <w:tcW w:w="665" w:type="pct"/>
            <w:vAlign w:val="center"/>
            <w:hideMark/>
          </w:tcPr>
          <w:p w14:paraId="3E46EC46"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1</w:t>
            </w:r>
          </w:p>
        </w:tc>
      </w:tr>
      <w:tr w:rsidR="003417AF" w:rsidRPr="00124A08" w14:paraId="56162685" w14:textId="77777777" w:rsidTr="00390C3D">
        <w:trPr>
          <w:tblCellSpacing w:w="15" w:type="dxa"/>
        </w:trPr>
        <w:tc>
          <w:tcPr>
            <w:tcW w:w="233" w:type="pct"/>
            <w:vAlign w:val="center"/>
            <w:hideMark/>
          </w:tcPr>
          <w:p w14:paraId="4158595D"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2</w:t>
            </w:r>
          </w:p>
        </w:tc>
        <w:tc>
          <w:tcPr>
            <w:tcW w:w="2182" w:type="pct"/>
            <w:vAlign w:val="center"/>
            <w:hideMark/>
          </w:tcPr>
          <w:p w14:paraId="75692E22"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Pressure transmitter error</w:t>
            </w:r>
          </w:p>
        </w:tc>
        <w:tc>
          <w:tcPr>
            <w:tcW w:w="121" w:type="pct"/>
            <w:vAlign w:val="center"/>
            <w:hideMark/>
          </w:tcPr>
          <w:p w14:paraId="5F1BB706"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7</w:t>
            </w:r>
          </w:p>
        </w:tc>
        <w:tc>
          <w:tcPr>
            <w:tcW w:w="157" w:type="pct"/>
            <w:vAlign w:val="center"/>
            <w:hideMark/>
          </w:tcPr>
          <w:p w14:paraId="454957F1"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7</w:t>
            </w:r>
          </w:p>
        </w:tc>
        <w:tc>
          <w:tcPr>
            <w:tcW w:w="148" w:type="pct"/>
            <w:vAlign w:val="center"/>
            <w:hideMark/>
          </w:tcPr>
          <w:p w14:paraId="29BF8E92"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5</w:t>
            </w:r>
          </w:p>
        </w:tc>
        <w:tc>
          <w:tcPr>
            <w:tcW w:w="373" w:type="pct"/>
            <w:vAlign w:val="center"/>
            <w:hideMark/>
          </w:tcPr>
          <w:p w14:paraId="34CD3E99"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245</w:t>
            </w:r>
          </w:p>
        </w:tc>
        <w:tc>
          <w:tcPr>
            <w:tcW w:w="979" w:type="pct"/>
            <w:vAlign w:val="center"/>
            <w:hideMark/>
          </w:tcPr>
          <w:p w14:paraId="40E738F7"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Sangat Tinggi</w:t>
            </w:r>
          </w:p>
        </w:tc>
        <w:tc>
          <w:tcPr>
            <w:tcW w:w="665" w:type="pct"/>
            <w:vAlign w:val="center"/>
            <w:hideMark/>
          </w:tcPr>
          <w:p w14:paraId="01813D37"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2</w:t>
            </w:r>
          </w:p>
        </w:tc>
      </w:tr>
      <w:tr w:rsidR="003417AF" w:rsidRPr="00124A08" w14:paraId="36461379" w14:textId="77777777" w:rsidTr="00390C3D">
        <w:trPr>
          <w:tblCellSpacing w:w="15" w:type="dxa"/>
        </w:trPr>
        <w:tc>
          <w:tcPr>
            <w:tcW w:w="233" w:type="pct"/>
            <w:vAlign w:val="center"/>
            <w:hideMark/>
          </w:tcPr>
          <w:p w14:paraId="2AD0975B"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3</w:t>
            </w:r>
          </w:p>
        </w:tc>
        <w:tc>
          <w:tcPr>
            <w:tcW w:w="2182" w:type="pct"/>
            <w:vAlign w:val="center"/>
            <w:hideMark/>
          </w:tcPr>
          <w:p w14:paraId="1F4B579A"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PRV/PSV stuck</w:t>
            </w:r>
          </w:p>
        </w:tc>
        <w:tc>
          <w:tcPr>
            <w:tcW w:w="121" w:type="pct"/>
            <w:vAlign w:val="center"/>
            <w:hideMark/>
          </w:tcPr>
          <w:p w14:paraId="286C64BF"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8</w:t>
            </w:r>
          </w:p>
        </w:tc>
        <w:tc>
          <w:tcPr>
            <w:tcW w:w="157" w:type="pct"/>
            <w:vAlign w:val="center"/>
            <w:hideMark/>
          </w:tcPr>
          <w:p w14:paraId="6161B6E5"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5</w:t>
            </w:r>
          </w:p>
        </w:tc>
        <w:tc>
          <w:tcPr>
            <w:tcW w:w="148" w:type="pct"/>
            <w:vAlign w:val="center"/>
            <w:hideMark/>
          </w:tcPr>
          <w:p w14:paraId="7CB26247"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6</w:t>
            </w:r>
          </w:p>
        </w:tc>
        <w:tc>
          <w:tcPr>
            <w:tcW w:w="373" w:type="pct"/>
            <w:vAlign w:val="center"/>
            <w:hideMark/>
          </w:tcPr>
          <w:p w14:paraId="62713DFE"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240</w:t>
            </w:r>
          </w:p>
        </w:tc>
        <w:tc>
          <w:tcPr>
            <w:tcW w:w="979" w:type="pct"/>
            <w:vAlign w:val="center"/>
            <w:hideMark/>
          </w:tcPr>
          <w:p w14:paraId="2D643163"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Sangat Tinggi</w:t>
            </w:r>
          </w:p>
        </w:tc>
        <w:tc>
          <w:tcPr>
            <w:tcW w:w="665" w:type="pct"/>
            <w:vAlign w:val="center"/>
            <w:hideMark/>
          </w:tcPr>
          <w:p w14:paraId="77C75CF5"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3</w:t>
            </w:r>
          </w:p>
        </w:tc>
      </w:tr>
      <w:tr w:rsidR="003417AF" w:rsidRPr="00124A08" w14:paraId="469CD641" w14:textId="77777777" w:rsidTr="00390C3D">
        <w:trPr>
          <w:tblCellSpacing w:w="15" w:type="dxa"/>
        </w:trPr>
        <w:tc>
          <w:tcPr>
            <w:tcW w:w="233" w:type="pct"/>
            <w:vAlign w:val="center"/>
            <w:hideMark/>
          </w:tcPr>
          <w:p w14:paraId="3965D529"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4</w:t>
            </w:r>
          </w:p>
        </w:tc>
        <w:tc>
          <w:tcPr>
            <w:tcW w:w="2182" w:type="pct"/>
            <w:vAlign w:val="center"/>
            <w:hideMark/>
          </w:tcPr>
          <w:p w14:paraId="12AF5552"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Control valve stuck</w:t>
            </w:r>
          </w:p>
        </w:tc>
        <w:tc>
          <w:tcPr>
            <w:tcW w:w="121" w:type="pct"/>
            <w:vAlign w:val="center"/>
            <w:hideMark/>
          </w:tcPr>
          <w:p w14:paraId="6B68F2F1"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8</w:t>
            </w:r>
          </w:p>
        </w:tc>
        <w:tc>
          <w:tcPr>
            <w:tcW w:w="157" w:type="pct"/>
            <w:vAlign w:val="center"/>
            <w:hideMark/>
          </w:tcPr>
          <w:p w14:paraId="343D04AF"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5</w:t>
            </w:r>
          </w:p>
        </w:tc>
        <w:tc>
          <w:tcPr>
            <w:tcW w:w="148" w:type="pct"/>
            <w:vAlign w:val="center"/>
            <w:hideMark/>
          </w:tcPr>
          <w:p w14:paraId="23E96E3D"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6</w:t>
            </w:r>
          </w:p>
        </w:tc>
        <w:tc>
          <w:tcPr>
            <w:tcW w:w="373" w:type="pct"/>
            <w:vAlign w:val="center"/>
            <w:hideMark/>
          </w:tcPr>
          <w:p w14:paraId="4D36EAA2"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240</w:t>
            </w:r>
          </w:p>
        </w:tc>
        <w:tc>
          <w:tcPr>
            <w:tcW w:w="979" w:type="pct"/>
            <w:vAlign w:val="center"/>
            <w:hideMark/>
          </w:tcPr>
          <w:p w14:paraId="4ED425D6"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Sangat Tinggi</w:t>
            </w:r>
          </w:p>
        </w:tc>
        <w:tc>
          <w:tcPr>
            <w:tcW w:w="665" w:type="pct"/>
            <w:vAlign w:val="center"/>
            <w:hideMark/>
          </w:tcPr>
          <w:p w14:paraId="3BBC6C8B"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4</w:t>
            </w:r>
          </w:p>
        </w:tc>
      </w:tr>
      <w:tr w:rsidR="003417AF" w:rsidRPr="00124A08" w14:paraId="4896217B" w14:textId="77777777" w:rsidTr="00390C3D">
        <w:trPr>
          <w:tblCellSpacing w:w="15" w:type="dxa"/>
        </w:trPr>
        <w:tc>
          <w:tcPr>
            <w:tcW w:w="233" w:type="pct"/>
            <w:vAlign w:val="center"/>
            <w:hideMark/>
          </w:tcPr>
          <w:p w14:paraId="09D45994"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5</w:t>
            </w:r>
          </w:p>
        </w:tc>
        <w:tc>
          <w:tcPr>
            <w:tcW w:w="2182" w:type="pct"/>
            <w:vAlign w:val="center"/>
            <w:hideMark/>
          </w:tcPr>
          <w:p w14:paraId="327D2DB3"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Tekanan kolom tidak terkendali</w:t>
            </w:r>
          </w:p>
        </w:tc>
        <w:tc>
          <w:tcPr>
            <w:tcW w:w="121" w:type="pct"/>
            <w:vAlign w:val="center"/>
            <w:hideMark/>
          </w:tcPr>
          <w:p w14:paraId="074F08F1"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7</w:t>
            </w:r>
          </w:p>
        </w:tc>
        <w:tc>
          <w:tcPr>
            <w:tcW w:w="157" w:type="pct"/>
            <w:vAlign w:val="center"/>
            <w:hideMark/>
          </w:tcPr>
          <w:p w14:paraId="7E16C204"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5</w:t>
            </w:r>
          </w:p>
        </w:tc>
        <w:tc>
          <w:tcPr>
            <w:tcW w:w="148" w:type="pct"/>
            <w:vAlign w:val="center"/>
            <w:hideMark/>
          </w:tcPr>
          <w:p w14:paraId="4A1E03B2"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5</w:t>
            </w:r>
          </w:p>
        </w:tc>
        <w:tc>
          <w:tcPr>
            <w:tcW w:w="373" w:type="pct"/>
            <w:vAlign w:val="center"/>
            <w:hideMark/>
          </w:tcPr>
          <w:p w14:paraId="7C80A165"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175</w:t>
            </w:r>
          </w:p>
        </w:tc>
        <w:tc>
          <w:tcPr>
            <w:tcW w:w="979" w:type="pct"/>
            <w:vAlign w:val="center"/>
            <w:hideMark/>
          </w:tcPr>
          <w:p w14:paraId="6DBCA8CF"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Tinggi</w:t>
            </w:r>
          </w:p>
        </w:tc>
        <w:tc>
          <w:tcPr>
            <w:tcW w:w="665" w:type="pct"/>
            <w:vAlign w:val="center"/>
            <w:hideMark/>
          </w:tcPr>
          <w:p w14:paraId="79A4F69F"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5</w:t>
            </w:r>
          </w:p>
        </w:tc>
      </w:tr>
      <w:tr w:rsidR="003417AF" w:rsidRPr="00124A08" w14:paraId="32758F7D" w14:textId="77777777" w:rsidTr="00390C3D">
        <w:trPr>
          <w:tblCellSpacing w:w="15" w:type="dxa"/>
        </w:trPr>
        <w:tc>
          <w:tcPr>
            <w:tcW w:w="233" w:type="pct"/>
            <w:vAlign w:val="center"/>
            <w:hideMark/>
          </w:tcPr>
          <w:p w14:paraId="428F3EEE"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6</w:t>
            </w:r>
          </w:p>
        </w:tc>
        <w:tc>
          <w:tcPr>
            <w:tcW w:w="2182" w:type="pct"/>
            <w:vAlign w:val="center"/>
            <w:hideMark/>
          </w:tcPr>
          <w:p w14:paraId="0C6E02BC"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HIPPS gagal berfungsi</w:t>
            </w:r>
          </w:p>
        </w:tc>
        <w:tc>
          <w:tcPr>
            <w:tcW w:w="121" w:type="pct"/>
            <w:vAlign w:val="center"/>
            <w:hideMark/>
          </w:tcPr>
          <w:p w14:paraId="736BAAB4"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9</w:t>
            </w:r>
          </w:p>
        </w:tc>
        <w:tc>
          <w:tcPr>
            <w:tcW w:w="157" w:type="pct"/>
            <w:vAlign w:val="center"/>
            <w:hideMark/>
          </w:tcPr>
          <w:p w14:paraId="0480B561"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4</w:t>
            </w:r>
          </w:p>
        </w:tc>
        <w:tc>
          <w:tcPr>
            <w:tcW w:w="148" w:type="pct"/>
            <w:vAlign w:val="center"/>
            <w:hideMark/>
          </w:tcPr>
          <w:p w14:paraId="58BAF2A0"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4</w:t>
            </w:r>
          </w:p>
        </w:tc>
        <w:tc>
          <w:tcPr>
            <w:tcW w:w="373" w:type="pct"/>
            <w:vAlign w:val="center"/>
            <w:hideMark/>
          </w:tcPr>
          <w:p w14:paraId="16FABA4C"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144</w:t>
            </w:r>
          </w:p>
        </w:tc>
        <w:tc>
          <w:tcPr>
            <w:tcW w:w="979" w:type="pct"/>
            <w:vAlign w:val="center"/>
            <w:hideMark/>
          </w:tcPr>
          <w:p w14:paraId="2BC9A4BE"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Tinggi</w:t>
            </w:r>
          </w:p>
        </w:tc>
        <w:tc>
          <w:tcPr>
            <w:tcW w:w="665" w:type="pct"/>
            <w:vAlign w:val="center"/>
            <w:hideMark/>
          </w:tcPr>
          <w:p w14:paraId="71C1CA2A"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6</w:t>
            </w:r>
          </w:p>
        </w:tc>
      </w:tr>
      <w:tr w:rsidR="003417AF" w:rsidRPr="00124A08" w14:paraId="14117EEE" w14:textId="77777777" w:rsidTr="00390C3D">
        <w:trPr>
          <w:tblCellSpacing w:w="15" w:type="dxa"/>
        </w:trPr>
        <w:tc>
          <w:tcPr>
            <w:tcW w:w="233" w:type="pct"/>
            <w:vAlign w:val="center"/>
            <w:hideMark/>
          </w:tcPr>
          <w:p w14:paraId="630E8D58"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7</w:t>
            </w:r>
          </w:p>
        </w:tc>
        <w:tc>
          <w:tcPr>
            <w:tcW w:w="2182" w:type="pct"/>
            <w:vAlign w:val="center"/>
            <w:hideMark/>
          </w:tcPr>
          <w:p w14:paraId="40514821"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Heat exchanger fouling</w:t>
            </w:r>
          </w:p>
        </w:tc>
        <w:tc>
          <w:tcPr>
            <w:tcW w:w="121" w:type="pct"/>
            <w:vAlign w:val="center"/>
            <w:hideMark/>
          </w:tcPr>
          <w:p w14:paraId="0948E7B1"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6</w:t>
            </w:r>
          </w:p>
        </w:tc>
        <w:tc>
          <w:tcPr>
            <w:tcW w:w="157" w:type="pct"/>
            <w:vAlign w:val="center"/>
            <w:hideMark/>
          </w:tcPr>
          <w:p w14:paraId="4CED32A3"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4</w:t>
            </w:r>
          </w:p>
        </w:tc>
        <w:tc>
          <w:tcPr>
            <w:tcW w:w="148" w:type="pct"/>
            <w:vAlign w:val="center"/>
            <w:hideMark/>
          </w:tcPr>
          <w:p w14:paraId="42BC800A"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5</w:t>
            </w:r>
          </w:p>
        </w:tc>
        <w:tc>
          <w:tcPr>
            <w:tcW w:w="373" w:type="pct"/>
            <w:vAlign w:val="center"/>
            <w:hideMark/>
          </w:tcPr>
          <w:p w14:paraId="5488DDE4"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120</w:t>
            </w:r>
          </w:p>
        </w:tc>
        <w:tc>
          <w:tcPr>
            <w:tcW w:w="979" w:type="pct"/>
            <w:vAlign w:val="center"/>
            <w:hideMark/>
          </w:tcPr>
          <w:p w14:paraId="21B56100"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Tinggi</w:t>
            </w:r>
          </w:p>
        </w:tc>
        <w:tc>
          <w:tcPr>
            <w:tcW w:w="665" w:type="pct"/>
            <w:vAlign w:val="center"/>
            <w:hideMark/>
          </w:tcPr>
          <w:p w14:paraId="4657096D"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7</w:t>
            </w:r>
          </w:p>
        </w:tc>
      </w:tr>
      <w:tr w:rsidR="003417AF" w:rsidRPr="00124A08" w14:paraId="372B9247" w14:textId="77777777" w:rsidTr="00390C3D">
        <w:trPr>
          <w:tblCellSpacing w:w="15" w:type="dxa"/>
        </w:trPr>
        <w:tc>
          <w:tcPr>
            <w:tcW w:w="233" w:type="pct"/>
            <w:tcBorders>
              <w:bottom w:val="single" w:sz="4" w:space="0" w:color="auto"/>
            </w:tcBorders>
            <w:vAlign w:val="center"/>
            <w:hideMark/>
          </w:tcPr>
          <w:p w14:paraId="7E3F2C40"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8</w:t>
            </w:r>
          </w:p>
        </w:tc>
        <w:tc>
          <w:tcPr>
            <w:tcW w:w="2182" w:type="pct"/>
            <w:tcBorders>
              <w:bottom w:val="single" w:sz="4" w:space="0" w:color="auto"/>
            </w:tcBorders>
            <w:vAlign w:val="center"/>
            <w:hideMark/>
          </w:tcPr>
          <w:p w14:paraId="58919181" w14:textId="77777777" w:rsidR="003417AF" w:rsidRPr="00124A08" w:rsidRDefault="003417AF" w:rsidP="00390C3D">
            <w:pP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Kebocoran pipa bertekanan</w:t>
            </w:r>
          </w:p>
        </w:tc>
        <w:tc>
          <w:tcPr>
            <w:tcW w:w="121" w:type="pct"/>
            <w:tcBorders>
              <w:bottom w:val="single" w:sz="4" w:space="0" w:color="auto"/>
            </w:tcBorders>
            <w:vAlign w:val="center"/>
            <w:hideMark/>
          </w:tcPr>
          <w:p w14:paraId="6387DE3F"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7</w:t>
            </w:r>
          </w:p>
        </w:tc>
        <w:tc>
          <w:tcPr>
            <w:tcW w:w="157" w:type="pct"/>
            <w:tcBorders>
              <w:bottom w:val="single" w:sz="4" w:space="0" w:color="auto"/>
            </w:tcBorders>
            <w:vAlign w:val="center"/>
            <w:hideMark/>
          </w:tcPr>
          <w:p w14:paraId="6E6615AA"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3</w:t>
            </w:r>
          </w:p>
        </w:tc>
        <w:tc>
          <w:tcPr>
            <w:tcW w:w="148" w:type="pct"/>
            <w:tcBorders>
              <w:bottom w:val="single" w:sz="4" w:space="0" w:color="auto"/>
            </w:tcBorders>
            <w:vAlign w:val="center"/>
            <w:hideMark/>
          </w:tcPr>
          <w:p w14:paraId="5D5A017C"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4</w:t>
            </w:r>
          </w:p>
        </w:tc>
        <w:tc>
          <w:tcPr>
            <w:tcW w:w="373" w:type="pct"/>
            <w:tcBorders>
              <w:bottom w:val="single" w:sz="4" w:space="0" w:color="auto"/>
            </w:tcBorders>
            <w:vAlign w:val="center"/>
            <w:hideMark/>
          </w:tcPr>
          <w:p w14:paraId="60F7CD15"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84</w:t>
            </w:r>
          </w:p>
        </w:tc>
        <w:tc>
          <w:tcPr>
            <w:tcW w:w="979" w:type="pct"/>
            <w:tcBorders>
              <w:bottom w:val="single" w:sz="4" w:space="0" w:color="auto"/>
            </w:tcBorders>
            <w:vAlign w:val="center"/>
            <w:hideMark/>
          </w:tcPr>
          <w:p w14:paraId="1D839312"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Sedang</w:t>
            </w:r>
          </w:p>
        </w:tc>
        <w:tc>
          <w:tcPr>
            <w:tcW w:w="665" w:type="pct"/>
            <w:tcBorders>
              <w:bottom w:val="single" w:sz="4" w:space="0" w:color="auto"/>
            </w:tcBorders>
            <w:vAlign w:val="center"/>
            <w:hideMark/>
          </w:tcPr>
          <w:p w14:paraId="5BADD75B" w14:textId="77777777" w:rsidR="003417AF" w:rsidRPr="00124A08" w:rsidRDefault="003417AF" w:rsidP="00390C3D">
            <w:pPr>
              <w:jc w:val="center"/>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8</w:t>
            </w:r>
          </w:p>
        </w:tc>
      </w:tr>
    </w:tbl>
    <w:p w14:paraId="1D978DEE" w14:textId="77777777" w:rsidR="003417AF" w:rsidRDefault="003417AF" w:rsidP="003417AF">
      <w:pPr>
        <w:jc w:val="both"/>
        <w:rPr>
          <w:rFonts w:asciiTheme="majorBidi" w:eastAsia="Times New Roman" w:hAnsiTheme="majorBidi" w:cstheme="majorBidi"/>
          <w:sz w:val="20"/>
          <w:szCs w:val="20"/>
        </w:rPr>
      </w:pPr>
      <w:r w:rsidRPr="00124A08">
        <w:rPr>
          <w:rFonts w:asciiTheme="majorBidi" w:eastAsia="Times New Roman" w:hAnsiTheme="majorBidi" w:cstheme="majorBidi"/>
          <w:sz w:val="20"/>
          <w:szCs w:val="20"/>
        </w:rPr>
        <w:t>Sumber: Hasil Observasi dan Olahan Data (2026)</w:t>
      </w:r>
    </w:p>
    <w:p w14:paraId="5A2C98A9" w14:textId="77777777" w:rsidR="003417AF" w:rsidRDefault="003417AF" w:rsidP="003417AF">
      <w:pPr>
        <w:ind w:firstLine="720"/>
        <w:jc w:val="both"/>
        <w:rPr>
          <w:rFonts w:asciiTheme="majorBidi" w:eastAsia="Times New Roman" w:hAnsiTheme="majorBidi" w:cstheme="majorBidi"/>
        </w:rPr>
      </w:pPr>
    </w:p>
    <w:p w14:paraId="7BE963E2" w14:textId="62397AF4" w:rsidR="003417AF" w:rsidRPr="00124A08" w:rsidRDefault="003417AF" w:rsidP="003417AF">
      <w:pPr>
        <w:ind w:firstLine="720"/>
        <w:jc w:val="both"/>
        <w:rPr>
          <w:rFonts w:asciiTheme="majorBidi" w:eastAsia="Times New Roman" w:hAnsiTheme="majorBidi" w:cstheme="majorBidi"/>
          <w:sz w:val="22"/>
          <w:szCs w:val="22"/>
        </w:rPr>
      </w:pPr>
      <w:r w:rsidRPr="00124A08">
        <w:rPr>
          <w:rFonts w:asciiTheme="majorBidi" w:eastAsia="Times New Roman" w:hAnsiTheme="majorBidi" w:cstheme="majorBidi"/>
          <w:sz w:val="22"/>
          <w:szCs w:val="22"/>
        </w:rPr>
        <w:t xml:space="preserve">Nilai RPN menunjukkan bahwa risiko </w:t>
      </w:r>
      <w:r w:rsidRPr="00124A08">
        <w:rPr>
          <w:rFonts w:asciiTheme="majorBidi" w:eastAsia="Times New Roman" w:hAnsiTheme="majorBidi" w:cstheme="majorBidi"/>
          <w:i/>
          <w:iCs/>
          <w:sz w:val="22"/>
          <w:szCs w:val="22"/>
        </w:rPr>
        <w:t>overpressure</w:t>
      </w:r>
      <w:r w:rsidRPr="00124A08">
        <w:rPr>
          <w:rFonts w:asciiTheme="majorBidi" w:eastAsia="Times New Roman" w:hAnsiTheme="majorBidi" w:cstheme="majorBidi"/>
          <w:sz w:val="22"/>
          <w:szCs w:val="22"/>
        </w:rPr>
        <w:t xml:space="preserve"> pada PRU lebih dominan dipengaruhi oleh faktor operasi dan instrumentasi dibandingkan kerusakan </w:t>
      </w:r>
      <w:r w:rsidRPr="00124A08">
        <w:rPr>
          <w:rFonts w:asciiTheme="majorBidi" w:eastAsia="Times New Roman" w:hAnsiTheme="majorBidi" w:cstheme="majorBidi"/>
          <w:i/>
          <w:iCs/>
          <w:sz w:val="22"/>
          <w:szCs w:val="22"/>
        </w:rPr>
        <w:t>containment</w:t>
      </w:r>
      <w:r w:rsidRPr="00124A08">
        <w:rPr>
          <w:rFonts w:asciiTheme="majorBidi" w:eastAsia="Times New Roman" w:hAnsiTheme="majorBidi" w:cstheme="majorBidi"/>
          <w:sz w:val="22"/>
          <w:szCs w:val="22"/>
        </w:rPr>
        <w:t xml:space="preserve"> secara langsung. </w:t>
      </w:r>
      <w:r w:rsidRPr="00124A08">
        <w:rPr>
          <w:rFonts w:asciiTheme="majorBidi" w:eastAsia="Times New Roman" w:hAnsiTheme="majorBidi" w:cstheme="majorBidi"/>
          <w:i/>
          <w:iCs/>
          <w:sz w:val="22"/>
          <w:szCs w:val="22"/>
        </w:rPr>
        <w:t>Human error</w:t>
      </w:r>
      <w:r w:rsidRPr="00124A08">
        <w:rPr>
          <w:rFonts w:asciiTheme="majorBidi" w:eastAsia="Times New Roman" w:hAnsiTheme="majorBidi" w:cstheme="majorBidi"/>
          <w:sz w:val="22"/>
          <w:szCs w:val="22"/>
        </w:rPr>
        <w:t xml:space="preserve"> menjadi prioritas tertinggi karena operator berperan dalam membaca alarm, mengendalikan parameter operasi, dan mengambil tindakan ketika terjadi deviasi tekanan. Temuan ini memperlihatkan bahwa penguatan </w:t>
      </w:r>
      <w:r w:rsidRPr="00124A08">
        <w:rPr>
          <w:rFonts w:asciiTheme="majorBidi" w:eastAsia="Times New Roman" w:hAnsiTheme="majorBidi" w:cstheme="majorBidi"/>
          <w:i/>
          <w:iCs/>
          <w:sz w:val="22"/>
          <w:szCs w:val="22"/>
        </w:rPr>
        <w:t>process safety</w:t>
      </w:r>
      <w:r w:rsidRPr="00124A08">
        <w:rPr>
          <w:rFonts w:asciiTheme="majorBidi" w:eastAsia="Times New Roman" w:hAnsiTheme="majorBidi" w:cstheme="majorBidi"/>
          <w:sz w:val="22"/>
          <w:szCs w:val="22"/>
        </w:rPr>
        <w:t xml:space="preserve"> tidak hanya bergantung pada integritas peralatan, tetapi juga pada kualitas respon operasi dan efektivitas sistem kontrol. Kondisi tersebut konsisten dengan penelitian Ab Rahim et al. </w:t>
      </w:r>
      <w:r w:rsidR="007A70A4">
        <w:rPr>
          <w:rFonts w:asciiTheme="majorBidi" w:eastAsia="Times New Roman" w:hAnsiTheme="majorBidi" w:cstheme="majorBidi"/>
          <w:sz w:val="22"/>
          <w:szCs w:val="22"/>
        </w:rPr>
        <w:fldChar w:fldCharType="begin" w:fldLock="1"/>
      </w:r>
      <w:r w:rsidR="007A70A4">
        <w:rPr>
          <w:rFonts w:asciiTheme="majorBidi" w:eastAsia="Times New Roman" w:hAnsiTheme="majorBidi" w:cstheme="majorBidi"/>
          <w:sz w:val="22"/>
          <w:szCs w:val="22"/>
        </w:rPr>
        <w:instrText>ADDIN CSL_CITATION {"citationItems":[{"id":"ITEM-1","itemData":{"DOI":"10.1016/j.jlp.2024.105274","author":[{"dropping-particle":"","family":"Ab Rahim","given":"M S","non-dropping-particle":"","parse-names":false,"suffix":""},{"dropping-particle":"","family":"Reniers","given":"G","non-dropping-particle":"","parse-names":false,"suffix":""},{"dropping-particle":"","family":"Yang","given":"M","non-dropping-particle":"","parse-names":false,"suffix":""},{"dropping-particle":"","family":"Bajpai","given":"S","non-dropping-particle":"","parse-names":false,"suffix":""}],"container-title":"Journal of Loss Prevention in the Process Industries","id":"ITEM-1","issued":{"date-parts":[["2024"]]},"page":"105274","title":"Risk Assessment Methods for Process Safety, Process Security and Resilience in the Chemical Process Industry: A Thorough Literature Review","type":"article-journal","volume":"88"},"uris":["http://www.mendeley.com/documents/?uuid=0f28d936-a1f4-4210-89ad-a841421c3ef1"]}],"mendeley":{"formattedCitation":"[6]","plainTextFormattedCitation":"[6]","previouslyFormattedCitation":"[6]"},"properties":{"noteIndex":0},"schema":"https://github.com/citation-style-language/schema/raw/master/csl-citation.json"}</w:instrText>
      </w:r>
      <w:r w:rsidR="007A70A4">
        <w:rPr>
          <w:rFonts w:asciiTheme="majorBidi" w:eastAsia="Times New Roman" w:hAnsiTheme="majorBidi" w:cstheme="majorBidi"/>
          <w:sz w:val="22"/>
          <w:szCs w:val="22"/>
        </w:rPr>
        <w:fldChar w:fldCharType="separate"/>
      </w:r>
      <w:r w:rsidR="007A70A4" w:rsidRPr="007A70A4">
        <w:rPr>
          <w:rFonts w:asciiTheme="majorBidi" w:eastAsia="Times New Roman" w:hAnsiTheme="majorBidi" w:cstheme="majorBidi"/>
          <w:noProof/>
          <w:sz w:val="22"/>
          <w:szCs w:val="22"/>
        </w:rPr>
        <w:t>[6]</w:t>
      </w:r>
      <w:r w:rsidR="007A70A4">
        <w:rPr>
          <w:rFonts w:asciiTheme="majorBidi" w:eastAsia="Times New Roman" w:hAnsiTheme="majorBidi" w:cstheme="majorBidi"/>
          <w:sz w:val="22"/>
          <w:szCs w:val="22"/>
        </w:rPr>
        <w:fldChar w:fldCharType="end"/>
      </w:r>
      <w:r w:rsidRPr="00124A08">
        <w:rPr>
          <w:rFonts w:asciiTheme="majorBidi" w:eastAsia="Times New Roman" w:hAnsiTheme="majorBidi" w:cstheme="majorBidi"/>
          <w:sz w:val="22"/>
          <w:szCs w:val="22"/>
        </w:rPr>
        <w:t xml:space="preserve"> yang menunjukkan bahwa risiko pada industri proses terbentuk dari hubungan antara faktor teknis, sistem pengendalian, dan ketahanan operasi terhadap gangguan.</w:t>
      </w:r>
    </w:p>
    <w:p w14:paraId="43A9C2CC" w14:textId="161FE7A8" w:rsidR="003417AF" w:rsidRPr="00124A08" w:rsidRDefault="003417AF" w:rsidP="003417AF">
      <w:pPr>
        <w:jc w:val="both"/>
        <w:rPr>
          <w:rFonts w:asciiTheme="majorBidi" w:eastAsia="Times New Roman" w:hAnsiTheme="majorBidi" w:cstheme="majorBidi"/>
          <w:sz w:val="22"/>
          <w:szCs w:val="22"/>
        </w:rPr>
      </w:pPr>
      <w:r w:rsidRPr="00124A08">
        <w:rPr>
          <w:rFonts w:asciiTheme="majorBidi" w:eastAsia="Times New Roman" w:hAnsiTheme="majorBidi" w:cstheme="majorBidi"/>
          <w:i/>
          <w:iCs/>
          <w:sz w:val="22"/>
          <w:szCs w:val="22"/>
        </w:rPr>
        <w:t>Pressure transmitter error</w:t>
      </w:r>
      <w:r w:rsidRPr="00124A08">
        <w:rPr>
          <w:rFonts w:asciiTheme="majorBidi" w:eastAsia="Times New Roman" w:hAnsiTheme="majorBidi" w:cstheme="majorBidi"/>
          <w:sz w:val="22"/>
          <w:szCs w:val="22"/>
        </w:rPr>
        <w:t xml:space="preserve"> menjadi risiko dominan kedua karena akurasi instrumentasi menentukan kestabilan kontrol tekanan. Ketika transmitter membaca tekanan secara tidak tepat, sistem kontrol dapat membuka atau menutup </w:t>
      </w:r>
      <w:r w:rsidRPr="00124A08">
        <w:rPr>
          <w:rFonts w:asciiTheme="majorBidi" w:eastAsia="Times New Roman" w:hAnsiTheme="majorBidi" w:cstheme="majorBidi"/>
          <w:i/>
          <w:iCs/>
          <w:sz w:val="22"/>
          <w:szCs w:val="22"/>
        </w:rPr>
        <w:t>control valve</w:t>
      </w:r>
      <w:r w:rsidRPr="00124A08">
        <w:rPr>
          <w:rFonts w:asciiTheme="majorBidi" w:eastAsia="Times New Roman" w:hAnsiTheme="majorBidi" w:cstheme="majorBidi"/>
          <w:sz w:val="22"/>
          <w:szCs w:val="22"/>
        </w:rPr>
        <w:t xml:space="preserve"> pada kondisi yang tidak sesuai. Temuan ini sejalan dengan penelitian Shi et al. </w:t>
      </w:r>
      <w:r w:rsidR="007A70A4">
        <w:rPr>
          <w:rFonts w:asciiTheme="majorBidi" w:eastAsia="Times New Roman" w:hAnsiTheme="majorBidi" w:cstheme="majorBidi"/>
          <w:sz w:val="22"/>
          <w:szCs w:val="22"/>
        </w:rPr>
        <w:fldChar w:fldCharType="begin" w:fldLock="1"/>
      </w:r>
      <w:r w:rsidR="007A70A4">
        <w:rPr>
          <w:rFonts w:asciiTheme="majorBidi" w:eastAsia="Times New Roman" w:hAnsiTheme="majorBidi" w:cstheme="majorBidi"/>
          <w:sz w:val="22"/>
          <w:szCs w:val="22"/>
        </w:rPr>
        <w:instrText>ADDIN CSL_CITATION {"citationItems":[{"id":"ITEM-1","itemData":{"DOI":"10.1016/j.flowmeasinst.2022.102303","author":[{"dropping-particle":"","family":"Shi","given":"M","non-dropping-particle":"","parse-names":false,"suffix":""},{"dropping-particle":"","family":"Cao","given":"Z","non-dropping-particle":"","parse-names":false,"suffix":""},{"dropping-particle":"","family":"Ye","given":"T","non-dropping-particle":"","parse-names":false,"suffix":""}],"container-title":"Flow Measurement and Instrumentation","id":"ITEM-1","issued":{"date-parts":[["2023"]]},"page":"102303","title":"Internal Leakage Rate Prediction and Failure Diagnosis of Buried Pipeline Ball Valve Based on Valve Cavity Pressure Detection","type":"article-journal","volume":"89"},"uris":["http://www.mendeley.com/documents/?uuid=bbd2d527-d3b3-44ed-9fa1-6905dc0e23c1"]}],"mendeley":{"formattedCitation":"[13]","plainTextFormattedCitation":"[13]","previouslyFormattedCitation":"[13]"},"properties":{"noteIndex":0},"schema":"https://github.com/citation-style-language/schema/raw/master/csl-citation.json"}</w:instrText>
      </w:r>
      <w:r w:rsidR="007A70A4">
        <w:rPr>
          <w:rFonts w:asciiTheme="majorBidi" w:eastAsia="Times New Roman" w:hAnsiTheme="majorBidi" w:cstheme="majorBidi"/>
          <w:sz w:val="22"/>
          <w:szCs w:val="22"/>
        </w:rPr>
        <w:fldChar w:fldCharType="separate"/>
      </w:r>
      <w:r w:rsidR="007A70A4" w:rsidRPr="007A70A4">
        <w:rPr>
          <w:rFonts w:asciiTheme="majorBidi" w:eastAsia="Times New Roman" w:hAnsiTheme="majorBidi" w:cstheme="majorBidi"/>
          <w:noProof/>
          <w:sz w:val="22"/>
          <w:szCs w:val="22"/>
        </w:rPr>
        <w:t>[13]</w:t>
      </w:r>
      <w:r w:rsidR="007A70A4">
        <w:rPr>
          <w:rFonts w:asciiTheme="majorBidi" w:eastAsia="Times New Roman" w:hAnsiTheme="majorBidi" w:cstheme="majorBidi"/>
          <w:sz w:val="22"/>
          <w:szCs w:val="22"/>
        </w:rPr>
        <w:fldChar w:fldCharType="end"/>
      </w:r>
      <w:r w:rsidR="007A70A4">
        <w:rPr>
          <w:rFonts w:asciiTheme="majorBidi" w:eastAsia="Times New Roman" w:hAnsiTheme="majorBidi" w:cstheme="majorBidi"/>
          <w:sz w:val="22"/>
          <w:szCs w:val="22"/>
        </w:rPr>
        <w:t xml:space="preserve"> </w:t>
      </w:r>
      <w:r w:rsidRPr="00124A08">
        <w:rPr>
          <w:rFonts w:asciiTheme="majorBidi" w:eastAsia="Times New Roman" w:hAnsiTheme="majorBidi" w:cstheme="majorBidi"/>
          <w:sz w:val="22"/>
          <w:szCs w:val="22"/>
        </w:rPr>
        <w:t xml:space="preserve">dan Ye et al. </w:t>
      </w:r>
      <w:r w:rsidR="007A70A4">
        <w:rPr>
          <w:rFonts w:asciiTheme="majorBidi" w:eastAsia="Times New Roman" w:hAnsiTheme="majorBidi" w:cstheme="majorBidi"/>
          <w:sz w:val="22"/>
          <w:szCs w:val="22"/>
        </w:rPr>
        <w:fldChar w:fldCharType="begin" w:fldLock="1"/>
      </w:r>
      <w:r w:rsidR="007A70A4">
        <w:rPr>
          <w:rFonts w:asciiTheme="majorBidi" w:eastAsia="Times New Roman" w:hAnsiTheme="majorBidi" w:cstheme="majorBidi"/>
          <w:sz w:val="22"/>
          <w:szCs w:val="22"/>
        </w:rPr>
        <w:instrText>ADDIN CSL_CITATION {"citationItems":[{"id":"ITEM-1","itemData":{"DOI":"10.1049/smt2.12049","author":[{"dropping-particle":"","family":"Ye","given":"G","non-dropping-particle":"","parse-names":false,"suffix":""},{"dropping-particle":"","family":"Xu","given":"K","non-dropping-particle":"","parse-names":false,"suffix":""},{"dropping-particle":"","family":"Wu","given":"W","non-dropping-particle":"","parse-names":false,"suffix":""}],"container-title":"IET Science, Measurement and Technology","id":"ITEM-1","issue":"6","issued":{"date-parts":[["2021"]]},"page":"487-498","title":"Mixed Multiple-Variable Modelling of Acoustic Emission Signals for Valve Internal Leakage Detection","type":"article-journal","volume":"15"},"uris":["http://www.mendeley.com/documents/?uuid=dabea9c3-e722-4fd4-9f58-dcc498679860"]}],"mendeley":{"formattedCitation":"[29]","plainTextFormattedCitation":"[29]","previouslyFormattedCitation":"[29]"},"properties":{"noteIndex":0},"schema":"https://github.com/citation-style-language/schema/raw/master/csl-citation.json"}</w:instrText>
      </w:r>
      <w:r w:rsidR="007A70A4">
        <w:rPr>
          <w:rFonts w:asciiTheme="majorBidi" w:eastAsia="Times New Roman" w:hAnsiTheme="majorBidi" w:cstheme="majorBidi"/>
          <w:sz w:val="22"/>
          <w:szCs w:val="22"/>
        </w:rPr>
        <w:fldChar w:fldCharType="separate"/>
      </w:r>
      <w:r w:rsidR="007A70A4" w:rsidRPr="007A70A4">
        <w:rPr>
          <w:rFonts w:asciiTheme="majorBidi" w:eastAsia="Times New Roman" w:hAnsiTheme="majorBidi" w:cstheme="majorBidi"/>
          <w:noProof/>
          <w:sz w:val="22"/>
          <w:szCs w:val="22"/>
        </w:rPr>
        <w:t>[29]</w:t>
      </w:r>
      <w:r w:rsidR="007A70A4">
        <w:rPr>
          <w:rFonts w:asciiTheme="majorBidi" w:eastAsia="Times New Roman" w:hAnsiTheme="majorBidi" w:cstheme="majorBidi"/>
          <w:sz w:val="22"/>
          <w:szCs w:val="22"/>
        </w:rPr>
        <w:fldChar w:fldCharType="end"/>
      </w:r>
      <w:r w:rsidRPr="00124A08">
        <w:rPr>
          <w:rFonts w:asciiTheme="majorBidi" w:eastAsia="Times New Roman" w:hAnsiTheme="majorBidi" w:cstheme="majorBidi"/>
          <w:sz w:val="22"/>
          <w:szCs w:val="22"/>
        </w:rPr>
        <w:t xml:space="preserve"> yang menunjukkan bahwa gangguan sinyal dan penurunan kualitas deteksi dapat memperbesar kemungkinan kegagalan operasi pada sistem bertekanan.</w:t>
      </w:r>
    </w:p>
    <w:p w14:paraId="62A2E2F3" w14:textId="6FC99041" w:rsidR="003417AF" w:rsidRPr="00124A08" w:rsidRDefault="003417AF" w:rsidP="003417AF">
      <w:pPr>
        <w:jc w:val="both"/>
        <w:rPr>
          <w:rFonts w:asciiTheme="majorBidi" w:eastAsia="Times New Roman" w:hAnsiTheme="majorBidi" w:cstheme="majorBidi"/>
          <w:sz w:val="22"/>
          <w:szCs w:val="22"/>
        </w:rPr>
      </w:pPr>
      <w:r w:rsidRPr="00124A08">
        <w:rPr>
          <w:rFonts w:asciiTheme="majorBidi" w:eastAsia="Times New Roman" w:hAnsiTheme="majorBidi" w:cstheme="majorBidi"/>
          <w:sz w:val="22"/>
          <w:szCs w:val="22"/>
        </w:rPr>
        <w:t xml:space="preserve">PRV/PSV </w:t>
      </w:r>
      <w:r w:rsidRPr="00124A08">
        <w:rPr>
          <w:rFonts w:asciiTheme="majorBidi" w:eastAsia="Times New Roman" w:hAnsiTheme="majorBidi" w:cstheme="majorBidi"/>
          <w:i/>
          <w:iCs/>
          <w:sz w:val="22"/>
          <w:szCs w:val="22"/>
        </w:rPr>
        <w:t>stuck</w:t>
      </w:r>
      <w:r w:rsidRPr="00124A08">
        <w:rPr>
          <w:rFonts w:asciiTheme="majorBidi" w:eastAsia="Times New Roman" w:hAnsiTheme="majorBidi" w:cstheme="majorBidi"/>
          <w:sz w:val="22"/>
          <w:szCs w:val="22"/>
        </w:rPr>
        <w:t xml:space="preserve"> dan </w:t>
      </w:r>
      <w:r w:rsidRPr="00124A08">
        <w:rPr>
          <w:rFonts w:asciiTheme="majorBidi" w:eastAsia="Times New Roman" w:hAnsiTheme="majorBidi" w:cstheme="majorBidi"/>
          <w:i/>
          <w:iCs/>
          <w:sz w:val="22"/>
          <w:szCs w:val="22"/>
        </w:rPr>
        <w:t>control valve stuck</w:t>
      </w:r>
      <w:r w:rsidRPr="00124A08">
        <w:rPr>
          <w:rFonts w:asciiTheme="majorBidi" w:eastAsia="Times New Roman" w:hAnsiTheme="majorBidi" w:cstheme="majorBidi"/>
          <w:sz w:val="22"/>
          <w:szCs w:val="22"/>
        </w:rPr>
        <w:t xml:space="preserve"> memiliki nilai RPN yang sama karena kedua komponen tersebut merupakan bagian penting dalam pengendalian tekanan proses. PRV/PSV berfungsi sebagai pelepas tekanan lebih, sedangkan </w:t>
      </w:r>
      <w:r w:rsidRPr="00124A08">
        <w:rPr>
          <w:rFonts w:asciiTheme="majorBidi" w:eastAsia="Times New Roman" w:hAnsiTheme="majorBidi" w:cstheme="majorBidi"/>
          <w:i/>
          <w:iCs/>
          <w:sz w:val="22"/>
          <w:szCs w:val="22"/>
        </w:rPr>
        <w:t>control valve</w:t>
      </w:r>
      <w:r w:rsidRPr="00124A08">
        <w:rPr>
          <w:rFonts w:asciiTheme="majorBidi" w:eastAsia="Times New Roman" w:hAnsiTheme="majorBidi" w:cstheme="majorBidi"/>
          <w:sz w:val="22"/>
          <w:szCs w:val="22"/>
        </w:rPr>
        <w:t xml:space="preserve"> mengatur kestabilan aliran </w:t>
      </w:r>
      <w:r w:rsidRPr="00124A08">
        <w:rPr>
          <w:rFonts w:asciiTheme="majorBidi" w:eastAsia="Times New Roman" w:hAnsiTheme="majorBidi" w:cstheme="majorBidi"/>
          <w:i/>
          <w:iCs/>
          <w:sz w:val="22"/>
          <w:szCs w:val="22"/>
        </w:rPr>
        <w:t>propylene</w:t>
      </w:r>
      <w:r w:rsidRPr="00124A08">
        <w:rPr>
          <w:rFonts w:asciiTheme="majorBidi" w:eastAsia="Times New Roman" w:hAnsiTheme="majorBidi" w:cstheme="majorBidi"/>
          <w:sz w:val="22"/>
          <w:szCs w:val="22"/>
        </w:rPr>
        <w:t xml:space="preserve">. Kegagalan pada salah satu komponen tersebut dapat meningkatkan tekanan proses secara cepat dan menurunkan efektivitas </w:t>
      </w:r>
      <w:r w:rsidRPr="00124A08">
        <w:rPr>
          <w:rFonts w:asciiTheme="majorBidi" w:eastAsia="Times New Roman" w:hAnsiTheme="majorBidi" w:cstheme="majorBidi"/>
          <w:i/>
          <w:iCs/>
          <w:sz w:val="22"/>
          <w:szCs w:val="22"/>
        </w:rPr>
        <w:t>safety barrier</w:t>
      </w:r>
      <w:r w:rsidRPr="00124A08">
        <w:rPr>
          <w:rFonts w:asciiTheme="majorBidi" w:eastAsia="Times New Roman" w:hAnsiTheme="majorBidi" w:cstheme="majorBidi"/>
          <w:sz w:val="22"/>
          <w:szCs w:val="22"/>
        </w:rPr>
        <w:t xml:space="preserve">. Hasil ini mendukung penelitian Kuchekar et al. </w:t>
      </w:r>
      <w:r w:rsidR="007A70A4">
        <w:rPr>
          <w:rFonts w:asciiTheme="majorBidi" w:eastAsia="Times New Roman" w:hAnsiTheme="majorBidi" w:cstheme="majorBidi"/>
          <w:sz w:val="22"/>
          <w:szCs w:val="22"/>
        </w:rPr>
        <w:fldChar w:fldCharType="begin" w:fldLock="1"/>
      </w:r>
      <w:r w:rsidR="007A70A4">
        <w:rPr>
          <w:rFonts w:asciiTheme="majorBidi" w:eastAsia="Times New Roman" w:hAnsiTheme="majorBidi" w:cstheme="majorBidi"/>
          <w:sz w:val="22"/>
          <w:szCs w:val="22"/>
        </w:rPr>
        <w:instrText>ADDIN CSL_CITATION {"citationItems":[{"id":"ITEM-1","itemData":{"DOI":"10.3390/pr121100820","author":[{"dropping-particle":"","family":"Kuchekar","given":"P","non-dropping-particle":"","parse-names":false,"suffix":""},{"dropping-particle":"","family":"Sutar","given":"R","non-dropping-particle":"","parse-names":false,"suffix":""},{"dropping-particle":"","family":"Patil","given":"P","non-dropping-particle":"","parse-names":false,"suffix":""}],"container-title":"Processes","id":"ITEM-1","issue":"11","issued":{"date-parts":[["2024"]]},"page":"820","title":"Assessing the Critical Factors Leading to the Failure of Pressure Relief Valves: A Case Study","type":"article-journal","volume":"12"},"uris":["http://www.mendeley.com/documents/?uuid=6de7d046-c2cf-442b-a09b-0e4da7082d57"]}],"mendeley":{"formattedCitation":"[9]","plainTextFormattedCitation":"[9]","previouslyFormattedCitation":"[9]"},"properties":{"noteIndex":0},"schema":"https://github.com/citation-style-language/schema/raw/master/csl-citation.json"}</w:instrText>
      </w:r>
      <w:r w:rsidR="007A70A4">
        <w:rPr>
          <w:rFonts w:asciiTheme="majorBidi" w:eastAsia="Times New Roman" w:hAnsiTheme="majorBidi" w:cstheme="majorBidi"/>
          <w:sz w:val="22"/>
          <w:szCs w:val="22"/>
        </w:rPr>
        <w:fldChar w:fldCharType="separate"/>
      </w:r>
      <w:r w:rsidR="007A70A4" w:rsidRPr="007A70A4">
        <w:rPr>
          <w:rFonts w:asciiTheme="majorBidi" w:eastAsia="Times New Roman" w:hAnsiTheme="majorBidi" w:cstheme="majorBidi"/>
          <w:noProof/>
          <w:sz w:val="22"/>
          <w:szCs w:val="22"/>
        </w:rPr>
        <w:t>[9]</w:t>
      </w:r>
      <w:r w:rsidR="007A70A4">
        <w:rPr>
          <w:rFonts w:asciiTheme="majorBidi" w:eastAsia="Times New Roman" w:hAnsiTheme="majorBidi" w:cstheme="majorBidi"/>
          <w:sz w:val="22"/>
          <w:szCs w:val="22"/>
        </w:rPr>
        <w:fldChar w:fldCharType="end"/>
      </w:r>
      <w:r w:rsidRPr="00124A08">
        <w:rPr>
          <w:rFonts w:asciiTheme="majorBidi" w:eastAsia="Times New Roman" w:hAnsiTheme="majorBidi" w:cstheme="majorBidi"/>
          <w:sz w:val="22"/>
          <w:szCs w:val="22"/>
        </w:rPr>
        <w:t xml:space="preserve"> yang menunjukkan bahwa </w:t>
      </w:r>
      <w:r w:rsidRPr="00124A08">
        <w:rPr>
          <w:rFonts w:asciiTheme="majorBidi" w:eastAsia="Times New Roman" w:hAnsiTheme="majorBidi" w:cstheme="majorBidi"/>
          <w:i/>
          <w:iCs/>
          <w:sz w:val="22"/>
          <w:szCs w:val="22"/>
        </w:rPr>
        <w:t>pressure relief valve</w:t>
      </w:r>
      <w:r w:rsidRPr="00124A08">
        <w:rPr>
          <w:rFonts w:asciiTheme="majorBidi" w:eastAsia="Times New Roman" w:hAnsiTheme="majorBidi" w:cstheme="majorBidi"/>
          <w:sz w:val="22"/>
          <w:szCs w:val="22"/>
        </w:rPr>
        <w:t xml:space="preserve"> menjadi salah satu komponen paling kritis dalam sistem proteksi tekanan industri proses.</w:t>
      </w:r>
    </w:p>
    <w:p w14:paraId="569F0EE1" w14:textId="5A5B21BC" w:rsidR="00695CE7" w:rsidRDefault="00695CE7" w:rsidP="003417AF">
      <w:pPr>
        <w:jc w:val="both"/>
        <w:rPr>
          <w:color w:val="000000"/>
          <w:sz w:val="20"/>
          <w:szCs w:val="20"/>
        </w:rPr>
      </w:pPr>
    </w:p>
    <w:p w14:paraId="2F0AA1E2" w14:textId="5762388C" w:rsidR="00695CE7" w:rsidRDefault="00FD0748" w:rsidP="00FD0748">
      <w:pPr>
        <w:numPr>
          <w:ilvl w:val="0"/>
          <w:numId w:val="6"/>
        </w:numPr>
        <w:ind w:left="360" w:hanging="360"/>
        <w:rPr>
          <w:color w:val="000000"/>
        </w:rPr>
      </w:pPr>
      <w:r>
        <w:rPr>
          <w:b/>
          <w:color w:val="000000"/>
        </w:rPr>
        <w:t>KESIMPULAN</w:t>
      </w:r>
    </w:p>
    <w:p w14:paraId="729695CA" w14:textId="77777777" w:rsidR="001E1B44" w:rsidRDefault="001E1B44" w:rsidP="007A70A4">
      <w:pPr>
        <w:pStyle w:val="NormalWeb"/>
        <w:spacing w:before="0" w:beforeAutospacing="0" w:after="0" w:afterAutospacing="0"/>
        <w:ind w:firstLine="360"/>
        <w:jc w:val="both"/>
      </w:pPr>
      <w:r>
        <w:t xml:space="preserve">Hasil analisis menunjukkan bahwa risiko overpressure pada PRU tidak terbentuk dari satu sumber kegagalan tunggal, tetapi dari kombinasi kegagalan operasi, instrumentasi, sistem proteksi tekanan, kontrol aliran, perpindahan panas, dan integritas peralatan. Delapan </w:t>
      </w:r>
      <w:r w:rsidRPr="002D66D2">
        <w:rPr>
          <w:i/>
          <w:iCs/>
        </w:rPr>
        <w:t>failure</w:t>
      </w:r>
      <w:r>
        <w:t xml:space="preserve"> mode yang teridentifikasi meliputi </w:t>
      </w:r>
      <w:r w:rsidRPr="002D66D2">
        <w:rPr>
          <w:i/>
          <w:iCs/>
        </w:rPr>
        <w:t>human error</w:t>
      </w:r>
      <w:r>
        <w:t xml:space="preserve"> operasi, </w:t>
      </w:r>
      <w:r w:rsidRPr="002D66D2">
        <w:rPr>
          <w:i/>
          <w:iCs/>
        </w:rPr>
        <w:t>pressure transmitter error</w:t>
      </w:r>
      <w:r>
        <w:t xml:space="preserve">, PRV/PSV </w:t>
      </w:r>
      <w:r w:rsidRPr="002D66D2">
        <w:rPr>
          <w:i/>
          <w:iCs/>
        </w:rPr>
        <w:t>stuck</w:t>
      </w:r>
      <w:r>
        <w:t xml:space="preserve">, </w:t>
      </w:r>
      <w:r w:rsidRPr="002D66D2">
        <w:rPr>
          <w:i/>
          <w:iCs/>
        </w:rPr>
        <w:t>control valve stuck</w:t>
      </w:r>
      <w:r>
        <w:t xml:space="preserve">, tekanan kolom tidak terkendali, HIPPS gagal berfungsi, </w:t>
      </w:r>
      <w:r w:rsidRPr="002D66D2">
        <w:rPr>
          <w:i/>
          <w:iCs/>
        </w:rPr>
        <w:t>heat exchanger fouling</w:t>
      </w:r>
      <w:r>
        <w:t xml:space="preserve">, dan kebocoran pipa bertekanan. Temuan ini konsisten dengan tujuan penelitian yang menempatkan FMEA sebagai alat untuk mengukur dan mengurutkan risiko </w:t>
      </w:r>
      <w:r w:rsidRPr="002D66D2">
        <w:rPr>
          <w:i/>
          <w:iCs/>
        </w:rPr>
        <w:t>overpressure</w:t>
      </w:r>
      <w:r>
        <w:t xml:space="preserve"> secara kuantitatif pada komponen kritis PRU. </w:t>
      </w:r>
    </w:p>
    <w:p w14:paraId="15FD6550" w14:textId="77777777" w:rsidR="001E1B44" w:rsidRDefault="001E1B44" w:rsidP="001E1B44">
      <w:pPr>
        <w:pStyle w:val="NormalWeb"/>
        <w:spacing w:before="0" w:beforeAutospacing="0" w:after="0" w:afterAutospacing="0"/>
        <w:ind w:firstLine="720"/>
        <w:jc w:val="both"/>
      </w:pPr>
      <w:r>
        <w:t xml:space="preserve">Hasil perhitungan RPN menunjukkan bahwa </w:t>
      </w:r>
      <w:r w:rsidRPr="002D66D2">
        <w:rPr>
          <w:i/>
          <w:iCs/>
        </w:rPr>
        <w:t>human error</w:t>
      </w:r>
      <w:r>
        <w:t xml:space="preserve"> operasi menjadi prioritas risiko tertinggi dengan nilai RPN 280, diikuti </w:t>
      </w:r>
      <w:r w:rsidRPr="002D66D2">
        <w:rPr>
          <w:i/>
          <w:iCs/>
        </w:rPr>
        <w:t>pressure transmitter error</w:t>
      </w:r>
      <w:r>
        <w:t xml:space="preserve"> sebesar 245, PRV/PSV </w:t>
      </w:r>
      <w:r w:rsidRPr="002D66D2">
        <w:rPr>
          <w:i/>
          <w:iCs/>
        </w:rPr>
        <w:t>stuck</w:t>
      </w:r>
      <w:r>
        <w:t xml:space="preserve"> sebesar 240, dan </w:t>
      </w:r>
      <w:r w:rsidRPr="002D66D2">
        <w:rPr>
          <w:i/>
          <w:iCs/>
        </w:rPr>
        <w:t>control valve stuck</w:t>
      </w:r>
      <w:r>
        <w:t xml:space="preserve"> sebesar 240. Urutan ini menunjukkan bahwa risiko </w:t>
      </w:r>
      <w:r w:rsidRPr="002D66D2">
        <w:rPr>
          <w:i/>
          <w:iCs/>
        </w:rPr>
        <w:t>overpressure</w:t>
      </w:r>
      <w:r>
        <w:t xml:space="preserve"> pada PRU paling kuat dipengaruhi oleh kualitas respon operator, keandalan pembacaan tekanan, kemampuan pelepasan tekanan lebih, dan kestabilan pengaturan aliran </w:t>
      </w:r>
      <w:r w:rsidRPr="002D66D2">
        <w:rPr>
          <w:i/>
          <w:iCs/>
        </w:rPr>
        <w:t>propylene</w:t>
      </w:r>
      <w:r>
        <w:t xml:space="preserve">. Sementara itu, tekanan kolom tidak terkendali, HIPPS gagal berfungsi, </w:t>
      </w:r>
      <w:r w:rsidRPr="002D66D2">
        <w:rPr>
          <w:i/>
          <w:iCs/>
        </w:rPr>
        <w:t>heat exchanger fouling</w:t>
      </w:r>
      <w:r>
        <w:t xml:space="preserve">, dan kebocoran pipa bertekanan tetap memerlukan pengendalian karena berhubungan dengan kestabilan operasi dan fungsi </w:t>
      </w:r>
      <w:r w:rsidRPr="002D66D2">
        <w:rPr>
          <w:i/>
          <w:iCs/>
        </w:rPr>
        <w:t>safety barrier</w:t>
      </w:r>
      <w:r>
        <w:t>.</w:t>
      </w:r>
    </w:p>
    <w:p w14:paraId="35247C83" w14:textId="77777777" w:rsidR="001E1B44" w:rsidRDefault="001E1B44" w:rsidP="001E1B44">
      <w:pPr>
        <w:pStyle w:val="NormalWeb"/>
        <w:spacing w:before="0" w:beforeAutospacing="0" w:after="0" w:afterAutospacing="0"/>
        <w:ind w:firstLine="720"/>
        <w:jc w:val="both"/>
      </w:pPr>
      <w:r>
        <w:t xml:space="preserve">Rekomendasi mitigasi perlu diarahkan berdasarkan urutan prioritas RPN. Pengendalian risiko utama mencakup pelatihan operator berbasis skenario </w:t>
      </w:r>
      <w:r w:rsidRPr="002D66D2">
        <w:rPr>
          <w:i/>
          <w:iCs/>
        </w:rPr>
        <w:t>overpressure</w:t>
      </w:r>
      <w:r>
        <w:t xml:space="preserve">, penyederhanaan SOP operasi abnormal, kalibrasi berkala </w:t>
      </w:r>
      <w:r w:rsidRPr="002D66D2">
        <w:rPr>
          <w:i/>
          <w:iCs/>
        </w:rPr>
        <w:t>pressure transmitter</w:t>
      </w:r>
      <w:r>
        <w:t xml:space="preserve">, pengujian fungsional PRV/PSV, </w:t>
      </w:r>
      <w:r>
        <w:lastRenderedPageBreak/>
        <w:t xml:space="preserve">perbaikan atau </w:t>
      </w:r>
      <w:r w:rsidRPr="002D66D2">
        <w:rPr>
          <w:i/>
          <w:iCs/>
        </w:rPr>
        <w:t>overhaul control valve</w:t>
      </w:r>
      <w:r>
        <w:t xml:space="preserve">, inspeksi </w:t>
      </w:r>
      <w:r w:rsidRPr="002D66D2">
        <w:rPr>
          <w:i/>
          <w:iCs/>
        </w:rPr>
        <w:t>heat exchanger</w:t>
      </w:r>
      <w:r>
        <w:t xml:space="preserve">, serta evaluasi fungsi HIPPS. Penelitian ini membatasi hasil mitigasi sebagai rekomendasi berbasis prioritas risiko, bukan sebagai bukti keberhasilan implementasi di lapangan. Penelitian berikutnya perlu menggunakan log DCS, histori alarm, </w:t>
      </w:r>
      <w:r w:rsidRPr="002D66D2">
        <w:rPr>
          <w:i/>
          <w:iCs/>
        </w:rPr>
        <w:t>work order maintenance</w:t>
      </w:r>
      <w:r>
        <w:t>, dan data inspeksi multi-periode agar efektivitas mitigasi dapat divalidasi secara operasional.</w:t>
      </w:r>
    </w:p>
    <w:p w14:paraId="45F13444" w14:textId="34400EA1" w:rsidR="00695CE7" w:rsidRDefault="00695CE7" w:rsidP="001E1B44">
      <w:pPr>
        <w:pBdr>
          <w:top w:val="nil"/>
          <w:left w:val="nil"/>
          <w:bottom w:val="nil"/>
          <w:right w:val="nil"/>
          <w:between w:val="nil"/>
        </w:pBdr>
        <w:jc w:val="both"/>
        <w:rPr>
          <w:sz w:val="22"/>
          <w:szCs w:val="22"/>
          <w:highlight w:val="white"/>
        </w:rPr>
      </w:pPr>
    </w:p>
    <w:p w14:paraId="28A25215" w14:textId="122A513E" w:rsidR="00695CE7" w:rsidRDefault="00E954E3">
      <w:pPr>
        <w:spacing w:before="120" w:after="120"/>
        <w:rPr>
          <w:b/>
          <w:color w:val="000000"/>
        </w:rPr>
      </w:pPr>
      <w:r>
        <w:rPr>
          <w:b/>
          <w:color w:val="000000"/>
        </w:rPr>
        <w:t>UCAPAN TERIMA KASIH</w:t>
      </w:r>
    </w:p>
    <w:p w14:paraId="1AEA40C5" w14:textId="6375ABBC" w:rsidR="00EB0583" w:rsidRDefault="00C46977" w:rsidP="00EB0583">
      <w:pPr>
        <w:ind w:firstLine="284"/>
        <w:jc w:val="both"/>
      </w:pPr>
      <w:r w:rsidRPr="00C46977">
        <w:rPr>
          <w:sz w:val="22"/>
          <w:szCs w:val="22"/>
        </w:rPr>
        <w:t>Penulis menyampaikan terima kasih kepada pihak operasional dan pemeliharaan Propylene Recovery Unit yang telah memberikan dukungan informasi teknis, data lapangan, serta masukan praktis selama proses identifikasi mode kegagalan dan penilaian risiko. Apresiasi juga disampaikan kepada Program Studi Teknik Industri Universitas PGRI Adi Buana Surabaya atas dukungan akademik dalam penyusunan artikel ini. Penelitian ini tidak menerima pendanaan khusus dari lembaga pemerintah, swasta, maupun institusi komersial.</w:t>
      </w:r>
    </w:p>
    <w:p w14:paraId="3C0E11C9" w14:textId="77777777" w:rsidR="00EB0583" w:rsidRPr="00EB0583" w:rsidRDefault="00EB0583" w:rsidP="00EB0583">
      <w:pPr>
        <w:ind w:firstLine="284"/>
        <w:jc w:val="both"/>
        <w:rPr>
          <w:sz w:val="22"/>
          <w:szCs w:val="22"/>
        </w:rPr>
      </w:pPr>
    </w:p>
    <w:p w14:paraId="61C09A1C" w14:textId="77F79ABD" w:rsidR="00695CE7" w:rsidRDefault="00C11332">
      <w:pPr>
        <w:spacing w:before="120" w:after="120"/>
        <w:rPr>
          <w:b/>
          <w:color w:val="000000"/>
        </w:rPr>
      </w:pPr>
      <w:r w:rsidRPr="00C11332">
        <w:rPr>
          <w:b/>
          <w:color w:val="000000"/>
        </w:rPr>
        <w:t>REFERENCES</w:t>
      </w:r>
    </w:p>
    <w:p w14:paraId="0D5A4216" w14:textId="376B97CA" w:rsidR="007A70A4" w:rsidRPr="007A70A4" w:rsidRDefault="007A70A4" w:rsidP="001E2AD3">
      <w:pPr>
        <w:widowControl w:val="0"/>
        <w:autoSpaceDE w:val="0"/>
        <w:autoSpaceDN w:val="0"/>
        <w:adjustRightInd w:val="0"/>
        <w:ind w:left="640" w:hanging="640"/>
        <w:jc w:val="both"/>
        <w:rPr>
          <w:noProof/>
          <w:sz w:val="20"/>
        </w:rPr>
      </w:pPr>
      <w:r>
        <w:rPr>
          <w:color w:val="000000"/>
          <w:sz w:val="20"/>
          <w:szCs w:val="20"/>
        </w:rPr>
        <w:fldChar w:fldCharType="begin" w:fldLock="1"/>
      </w:r>
      <w:r>
        <w:rPr>
          <w:color w:val="000000"/>
          <w:sz w:val="20"/>
          <w:szCs w:val="20"/>
        </w:rPr>
        <w:instrText xml:space="preserve">ADDIN Mendeley Bibliography CSL_BIBLIOGRAPHY </w:instrText>
      </w:r>
      <w:r>
        <w:rPr>
          <w:color w:val="000000"/>
          <w:sz w:val="20"/>
          <w:szCs w:val="20"/>
        </w:rPr>
        <w:fldChar w:fldCharType="separate"/>
      </w:r>
      <w:r w:rsidRPr="007A70A4">
        <w:rPr>
          <w:noProof/>
          <w:sz w:val="20"/>
        </w:rPr>
        <w:t>[1]</w:t>
      </w:r>
      <w:r w:rsidRPr="007A70A4">
        <w:rPr>
          <w:noProof/>
          <w:sz w:val="20"/>
        </w:rPr>
        <w:tab/>
        <w:t xml:space="preserve">J. Zhang, H. Ren, H. Ren, Y. Chai, Z. Liu, and X. Liang, “Comprehensive Review of Safety Studies in Process Industrial Systems: Concepts, Progress, and Main Research Topics,” </w:t>
      </w:r>
      <w:r w:rsidRPr="007A70A4">
        <w:rPr>
          <w:i/>
          <w:iCs/>
          <w:noProof/>
          <w:sz w:val="20"/>
        </w:rPr>
        <w:t>Processes</w:t>
      </w:r>
      <w:r w:rsidRPr="007A70A4">
        <w:rPr>
          <w:noProof/>
          <w:sz w:val="20"/>
        </w:rPr>
        <w:t>, vol. 11, no. 8, p. 2454, 2023, doi: 10.3390/pr11082454.</w:t>
      </w:r>
    </w:p>
    <w:p w14:paraId="5AA60D8C"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[2]</w:t>
      </w:r>
      <w:r w:rsidRPr="007A70A4">
        <w:rPr>
          <w:noProof/>
          <w:sz w:val="20"/>
        </w:rPr>
        <w:tab/>
        <w:t xml:space="preserve">M. A. Jumali, Rusdiyantoro, A. R. Maulidah, and Y. Utomo, “Rearranging First-In First-Out (FIFO) Parts Layouts,” </w:t>
      </w:r>
      <w:r w:rsidRPr="007A70A4">
        <w:rPr>
          <w:i/>
          <w:iCs/>
          <w:noProof/>
          <w:sz w:val="20"/>
        </w:rPr>
        <w:t>PROZIMA (Productivity, Optim. Manuf. Syst. Eng.</w:t>
      </w:r>
      <w:r w:rsidRPr="007A70A4">
        <w:rPr>
          <w:noProof/>
          <w:sz w:val="20"/>
        </w:rPr>
        <w:t>, vol. 6, no. 2 SE-Articles, Jan. 2023, doi: 10.21070/prozima.v6i2.1580.</w:t>
      </w:r>
    </w:p>
    <w:p w14:paraId="2F629F9C"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[3]</w:t>
      </w:r>
      <w:r w:rsidRPr="007A70A4">
        <w:rPr>
          <w:noProof/>
          <w:sz w:val="20"/>
        </w:rPr>
        <w:tab/>
        <w:t xml:space="preserve">M. A. Jumali and E. B. Utomo, “CHANGE-ORIENTED LEADERSHIP : SAFETY COMMITMENT OR PERFORMANCE BEHAVIOR,” </w:t>
      </w:r>
      <w:r w:rsidRPr="007A70A4">
        <w:rPr>
          <w:i/>
          <w:iCs/>
          <w:noProof/>
          <w:sz w:val="20"/>
        </w:rPr>
        <w:t>J. Tek. WAKTU</w:t>
      </w:r>
      <w:r w:rsidRPr="007A70A4">
        <w:rPr>
          <w:noProof/>
          <w:sz w:val="20"/>
        </w:rPr>
        <w:t>, vol. 16, no. 2, pp. 36–46, 2018, [Online]. Available: http://jurnal.unipasby.ac.id/index.php/waktu/article/view/1666/1542</w:t>
      </w:r>
    </w:p>
    <w:p w14:paraId="7591DECA"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[4]</w:t>
      </w:r>
      <w:r w:rsidRPr="007A70A4">
        <w:rPr>
          <w:noProof/>
          <w:sz w:val="20"/>
        </w:rPr>
        <w:tab/>
        <w:t xml:space="preserve">P. Schmitz, P. Swuste, G. Reniers, and K. van Nunen, “Predicting Major Accidents in the Process Industry Based on the Barrier Status at Scenario Level: A Practical Approach,” </w:t>
      </w:r>
      <w:r w:rsidRPr="007A70A4">
        <w:rPr>
          <w:i/>
          <w:iCs/>
          <w:noProof/>
          <w:sz w:val="20"/>
        </w:rPr>
        <w:t>J. Loss Prev. Process Ind.</w:t>
      </w:r>
      <w:r w:rsidRPr="007A70A4">
        <w:rPr>
          <w:noProof/>
          <w:sz w:val="20"/>
        </w:rPr>
        <w:t>, vol. 71, p. 104519, 2021, doi: 10.1016/j.jlp.2021.104519.</w:t>
      </w:r>
    </w:p>
    <w:p w14:paraId="781CD148"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[5]</w:t>
      </w:r>
      <w:r w:rsidRPr="007A70A4">
        <w:rPr>
          <w:noProof/>
          <w:sz w:val="20"/>
        </w:rPr>
        <w:tab/>
        <w:t xml:space="preserve">M. A. Jumali, Rusdiyantoro, Yitno Utomo, Moch. Fatur Aangga Pratama, and Harno Suntoko, “Implementation of Workplace Safety in the Welding Industry: Challenges and Solutions,” </w:t>
      </w:r>
      <w:r w:rsidRPr="007A70A4">
        <w:rPr>
          <w:i/>
          <w:iCs/>
          <w:noProof/>
          <w:sz w:val="20"/>
        </w:rPr>
        <w:t>Tibuana</w:t>
      </w:r>
      <w:r w:rsidRPr="007A70A4">
        <w:rPr>
          <w:noProof/>
          <w:sz w:val="20"/>
        </w:rPr>
        <w:t>, vol. 8, no. 1, pp. 9–14, 2025, doi: 10.36456/tibuana.8.1.9978.9-14.</w:t>
      </w:r>
    </w:p>
    <w:p w14:paraId="0495B890"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[6]</w:t>
      </w:r>
      <w:r w:rsidRPr="007A70A4">
        <w:rPr>
          <w:noProof/>
          <w:sz w:val="20"/>
        </w:rPr>
        <w:tab/>
        <w:t xml:space="preserve">M. S. Ab Rahim, G. Reniers, M. Yang, and S. Bajpai, “Risk Assessment Methods for Process Safety, Process Security and Resilience in the Chemical Process Industry: A Thorough Literature Review,” </w:t>
      </w:r>
      <w:r w:rsidRPr="007A70A4">
        <w:rPr>
          <w:i/>
          <w:iCs/>
          <w:noProof/>
          <w:sz w:val="20"/>
        </w:rPr>
        <w:t>J. Loss Prev. Process Ind.</w:t>
      </w:r>
      <w:r w:rsidRPr="007A70A4">
        <w:rPr>
          <w:noProof/>
          <w:sz w:val="20"/>
        </w:rPr>
        <w:t>, vol. 88, p. 105274, 2024, doi: 10.1016/j.jlp.2024.105274.</w:t>
      </w:r>
    </w:p>
    <w:p w14:paraId="7ED61419"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[7]</w:t>
      </w:r>
      <w:r w:rsidRPr="007A70A4">
        <w:rPr>
          <w:noProof/>
          <w:sz w:val="20"/>
        </w:rPr>
        <w:tab/>
        <w:t xml:space="preserve">M. A. Ridho and M. A. Jumali, “ANALISIS PENJADWALAN PEMELIHARAAN AC DI FAKULTAS TEKNIK,” in </w:t>
      </w:r>
      <w:r w:rsidRPr="007A70A4">
        <w:rPr>
          <w:i/>
          <w:iCs/>
          <w:noProof/>
          <w:sz w:val="20"/>
        </w:rPr>
        <w:t>SEMNASTEK 2017</w:t>
      </w:r>
      <w:r w:rsidRPr="007A70A4">
        <w:rPr>
          <w:noProof/>
          <w:sz w:val="20"/>
        </w:rPr>
        <w:t>, 2017, no. iii, pp. 198–204. [Online]. Available: https://drive.google.com/file/d/1Ch3y8qThU5hxU0wcGP78AB-0lgva3QHm/view</w:t>
      </w:r>
    </w:p>
    <w:p w14:paraId="75CDEE3A"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[8]</w:t>
      </w:r>
      <w:r w:rsidRPr="007A70A4">
        <w:rPr>
          <w:noProof/>
          <w:sz w:val="20"/>
        </w:rPr>
        <w:tab/>
        <w:t xml:space="preserve">Shilfira Nova Pratiwi and Muhamad Abdul Jumali, “Imlementasi Metode Line Balancing Guna Perbaikan Proses Produksi Di PT. Sol Sepatu Di Sidoarjo,” </w:t>
      </w:r>
      <w:r w:rsidRPr="007A70A4">
        <w:rPr>
          <w:i/>
          <w:iCs/>
          <w:noProof/>
          <w:sz w:val="20"/>
        </w:rPr>
        <w:t>Semin. Nas. Has. Ris. dan Pengabdi.</w:t>
      </w:r>
      <w:r w:rsidRPr="007A70A4">
        <w:rPr>
          <w:noProof/>
          <w:sz w:val="20"/>
        </w:rPr>
        <w:t>, vol. 6, no. SE-Penelitian, Jul. 2024, [Online]. Available: https://snhrp.unipasby.ac.id/prosiding/index.php/snhrp/article/view/1146</w:t>
      </w:r>
    </w:p>
    <w:p w14:paraId="78391DAE"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[9]</w:t>
      </w:r>
      <w:r w:rsidRPr="007A70A4">
        <w:rPr>
          <w:noProof/>
          <w:sz w:val="20"/>
        </w:rPr>
        <w:tab/>
        <w:t xml:space="preserve">P. Kuchekar, R. Sutar, and P. Patil, “Assessing the Critical Factors Leading to the Failure of Pressure Relief Valves: A Case Study,” </w:t>
      </w:r>
      <w:r w:rsidRPr="007A70A4">
        <w:rPr>
          <w:i/>
          <w:iCs/>
          <w:noProof/>
          <w:sz w:val="20"/>
        </w:rPr>
        <w:t>Processes</w:t>
      </w:r>
      <w:r w:rsidRPr="007A70A4">
        <w:rPr>
          <w:noProof/>
          <w:sz w:val="20"/>
        </w:rPr>
        <w:t>, vol. 12, no. 11, p. 820, 2024, doi: 10.3390/pr121100820.</w:t>
      </w:r>
    </w:p>
    <w:p w14:paraId="42348ABB"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[10]</w:t>
      </w:r>
      <w:r w:rsidRPr="007A70A4">
        <w:rPr>
          <w:noProof/>
          <w:sz w:val="20"/>
        </w:rPr>
        <w:tab/>
        <w:t xml:space="preserve">T. Yuri and R. Nurcahyo, </w:t>
      </w:r>
      <w:r w:rsidRPr="007A70A4">
        <w:rPr>
          <w:i/>
          <w:iCs/>
          <w:noProof/>
          <w:sz w:val="20"/>
        </w:rPr>
        <w:t>TQM manajemen kualitas total dalam perspektif teknik industri</w:t>
      </w:r>
      <w:r w:rsidRPr="007A70A4">
        <w:rPr>
          <w:noProof/>
          <w:sz w:val="20"/>
        </w:rPr>
        <w:t>. Jakarta: Indeks, 2013.</w:t>
      </w:r>
    </w:p>
    <w:p w14:paraId="74BAFEC6"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[11]</w:t>
      </w:r>
      <w:r w:rsidRPr="007A70A4">
        <w:rPr>
          <w:noProof/>
          <w:sz w:val="20"/>
        </w:rPr>
        <w:tab/>
        <w:t xml:space="preserve">A. Cahyono and M. A. Jumali, “INCREASING THE PRODUCTIVITY OF THE FURNITURE INDUSTRY WITH KAIZEN CASE STUDY IN SBRC FURNITURE JEPARA,” </w:t>
      </w:r>
      <w:r w:rsidRPr="007A70A4">
        <w:rPr>
          <w:i/>
          <w:iCs/>
          <w:noProof/>
          <w:sz w:val="20"/>
        </w:rPr>
        <w:t>J. Ind. Eng. Manag.</w:t>
      </w:r>
      <w:r w:rsidRPr="007A70A4">
        <w:rPr>
          <w:noProof/>
          <w:sz w:val="20"/>
        </w:rPr>
        <w:t>, vol. 8, no. 1, pp. 69–78, 2023.</w:t>
      </w:r>
    </w:p>
    <w:p w14:paraId="44CCDFC6"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[12]</w:t>
      </w:r>
      <w:r w:rsidRPr="007A70A4">
        <w:rPr>
          <w:noProof/>
          <w:sz w:val="20"/>
        </w:rPr>
        <w:tab/>
        <w:t xml:space="preserve">M. A. Bin Yusof and N. H. B. Abdullah, “Failure Mode and Effect Analysis (FMEA) of Butterfly Valve in Oil and Gas Industry,” </w:t>
      </w:r>
      <w:r w:rsidRPr="007A70A4">
        <w:rPr>
          <w:i/>
          <w:iCs/>
          <w:noProof/>
          <w:sz w:val="20"/>
        </w:rPr>
        <w:t>J. Eng. Sci. Technol.</w:t>
      </w:r>
      <w:r w:rsidRPr="007A70A4">
        <w:rPr>
          <w:noProof/>
          <w:sz w:val="20"/>
        </w:rPr>
        <w:t>, vol. 11, no. 9, pp. 9–19, 2016.</w:t>
      </w:r>
    </w:p>
    <w:p w14:paraId="02B193DD"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[13]</w:t>
      </w:r>
      <w:r w:rsidRPr="007A70A4">
        <w:rPr>
          <w:noProof/>
          <w:sz w:val="20"/>
        </w:rPr>
        <w:tab/>
        <w:t xml:space="preserve">M. Shi, Z. Cao, and T. Ye, “Internal Leakage Rate Prediction and Failure Diagnosis of Buried Pipeline Ball Valve Based on Valve Cavity Pressure Detection,” </w:t>
      </w:r>
      <w:r w:rsidRPr="007A70A4">
        <w:rPr>
          <w:i/>
          <w:iCs/>
          <w:noProof/>
          <w:sz w:val="20"/>
        </w:rPr>
        <w:t>Flow Meas. Instrum.</w:t>
      </w:r>
      <w:r w:rsidRPr="007A70A4">
        <w:rPr>
          <w:noProof/>
          <w:sz w:val="20"/>
        </w:rPr>
        <w:t>, vol. 89, p. 102303, 2023, doi: 10.1016/j.flowmeasinst.2022.102303.</w:t>
      </w:r>
    </w:p>
    <w:p w14:paraId="71822C18"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[14]</w:t>
      </w:r>
      <w:r w:rsidRPr="007A70A4">
        <w:rPr>
          <w:noProof/>
          <w:sz w:val="20"/>
        </w:rPr>
        <w:tab/>
        <w:t xml:space="preserve">I. Mustapha </w:t>
      </w:r>
      <w:r w:rsidRPr="007A70A4">
        <w:rPr>
          <w:i/>
          <w:iCs/>
          <w:noProof/>
          <w:sz w:val="20"/>
        </w:rPr>
        <w:t>et al.</w:t>
      </w:r>
      <w:r w:rsidRPr="007A70A4">
        <w:rPr>
          <w:noProof/>
          <w:sz w:val="20"/>
        </w:rPr>
        <w:t xml:space="preserve">, “Investigation of Internal Gas Leakage on the Gate Valve Using Acoustic Signal,” </w:t>
      </w:r>
      <w:r w:rsidRPr="007A70A4">
        <w:rPr>
          <w:i/>
          <w:iCs/>
          <w:noProof/>
          <w:sz w:val="20"/>
        </w:rPr>
        <w:t>Int. J. Integr. Eng.</w:t>
      </w:r>
      <w:r w:rsidRPr="007A70A4">
        <w:rPr>
          <w:noProof/>
          <w:sz w:val="20"/>
        </w:rPr>
        <w:t>, vol. 14, no. 1, pp. 57–65, 2022, [Online]. Available: https://publisher.uthm.edu.my/ojs/index.php/ijie/article/view/7494</w:t>
      </w:r>
    </w:p>
    <w:p w14:paraId="29E2985F"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[15]</w:t>
      </w:r>
      <w:r w:rsidRPr="007A70A4">
        <w:rPr>
          <w:noProof/>
          <w:sz w:val="20"/>
        </w:rPr>
        <w:tab/>
        <w:t>S. Hassan, J. Wang, C. Kontovas, and M. Bashir, “Modified FMEA Hazard Identification for Cross-</w:t>
      </w:r>
      <w:r w:rsidRPr="007A70A4">
        <w:rPr>
          <w:noProof/>
          <w:sz w:val="20"/>
        </w:rPr>
        <w:lastRenderedPageBreak/>
        <w:t xml:space="preserve">Country Petroleum Pipeline Using Fuzzy Rule Base and Approximate Reasoning,” </w:t>
      </w:r>
      <w:r w:rsidRPr="007A70A4">
        <w:rPr>
          <w:i/>
          <w:iCs/>
          <w:noProof/>
          <w:sz w:val="20"/>
        </w:rPr>
        <w:t>J. Loss Prev. Process Ind.</w:t>
      </w:r>
      <w:r w:rsidRPr="007A70A4">
        <w:rPr>
          <w:noProof/>
          <w:sz w:val="20"/>
        </w:rPr>
        <w:t>, vol. 74, p. 104616, 2022, doi: 10.1016/j.jlp.2021.104616.</w:t>
      </w:r>
    </w:p>
    <w:p w14:paraId="74FC4475"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[16]</w:t>
      </w:r>
      <w:r w:rsidRPr="007A70A4">
        <w:rPr>
          <w:noProof/>
          <w:sz w:val="20"/>
        </w:rPr>
        <w:tab/>
        <w:t xml:space="preserve">A. Carro, A. Gonzalez, and G. Caceres, “FMEA and Risk Assessment for Thermochemical Energy Storage Systems,” </w:t>
      </w:r>
      <w:r w:rsidRPr="007A70A4">
        <w:rPr>
          <w:i/>
          <w:iCs/>
          <w:noProof/>
          <w:sz w:val="20"/>
        </w:rPr>
        <w:t>Energies</w:t>
      </w:r>
      <w:r w:rsidRPr="007A70A4">
        <w:rPr>
          <w:noProof/>
          <w:sz w:val="20"/>
        </w:rPr>
        <w:t>, vol. 14, no. 19, p. 6013, 2021, doi: 10.3390/en14196013.</w:t>
      </w:r>
    </w:p>
    <w:p w14:paraId="0CDB3571"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[17]</w:t>
      </w:r>
      <w:r w:rsidRPr="007A70A4">
        <w:rPr>
          <w:noProof/>
          <w:sz w:val="20"/>
        </w:rPr>
        <w:tab/>
        <w:t xml:space="preserve">R. M. Jannah, S. Supriyadi, and A. Nalhadi, “Analisis Efektivitas pada Mesin Centrifugal dengan Menggunakan Metode Overall Equipment Effectiveness (OEE),” </w:t>
      </w:r>
      <w:r w:rsidRPr="007A70A4">
        <w:rPr>
          <w:i/>
          <w:iCs/>
          <w:noProof/>
          <w:sz w:val="20"/>
        </w:rPr>
        <w:t>Pros. Semin. Nas. Ris. Ter. SENASSET</w:t>
      </w:r>
      <w:r w:rsidRPr="007A70A4">
        <w:rPr>
          <w:noProof/>
          <w:sz w:val="20"/>
        </w:rPr>
        <w:t>, no. 2013, pp. 170–175, 2017.</w:t>
      </w:r>
    </w:p>
    <w:p w14:paraId="509DEA1F"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[18]</w:t>
      </w:r>
      <w:r w:rsidRPr="007A70A4">
        <w:rPr>
          <w:noProof/>
          <w:sz w:val="20"/>
        </w:rPr>
        <w:tab/>
        <w:t xml:space="preserve">K. Sotoodeh, “Failure Mode and Effect Analysis (FMEA) of Pipeline Ball Valves in the Offshore Industry,” </w:t>
      </w:r>
      <w:r w:rsidRPr="007A70A4">
        <w:rPr>
          <w:i/>
          <w:iCs/>
          <w:noProof/>
          <w:sz w:val="20"/>
        </w:rPr>
        <w:t>J. Fail. Anal. Prev.</w:t>
      </w:r>
      <w:r w:rsidRPr="007A70A4">
        <w:rPr>
          <w:noProof/>
          <w:sz w:val="20"/>
        </w:rPr>
        <w:t>, vol. 20, no. 4, pp. 1175–1183, 2020.</w:t>
      </w:r>
    </w:p>
    <w:p w14:paraId="552B7855"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[19]</w:t>
      </w:r>
      <w:r w:rsidRPr="007A70A4">
        <w:rPr>
          <w:noProof/>
          <w:sz w:val="20"/>
        </w:rPr>
        <w:tab/>
        <w:t xml:space="preserve">D. S. Dhamayanti, J. Alhilman, and N. Athari, “Usulan Preventive Maintenance Pada Mesin Komori Ls440 Dengan Menggunakan Metode Reliability Centered Maintenance (Rcm Ii) Dan Risk Based Maintenance (Rbm) Di Pt Abc,” </w:t>
      </w:r>
      <w:r w:rsidRPr="007A70A4">
        <w:rPr>
          <w:i/>
          <w:iCs/>
          <w:noProof/>
          <w:sz w:val="20"/>
        </w:rPr>
        <w:t>J. Rekayasa Sist. Ind.</w:t>
      </w:r>
      <w:r w:rsidRPr="007A70A4">
        <w:rPr>
          <w:noProof/>
          <w:sz w:val="20"/>
        </w:rPr>
        <w:t>, vol. 3, no. 02, p. 31, 2016, doi: 10.25124/jrsi.v3i02.29.</w:t>
      </w:r>
    </w:p>
    <w:p w14:paraId="7FB4433F"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[20]</w:t>
      </w:r>
      <w:r w:rsidRPr="007A70A4">
        <w:rPr>
          <w:noProof/>
          <w:sz w:val="20"/>
        </w:rPr>
        <w:tab/>
        <w:t xml:space="preserve">D. Triwardani, A. Rahman, and C. Tantrika, “Analisis Overall Equipment Effectiveness (OEE) dalam Meminimalisi Six Big Losses Pada Mesin Produksi Dual Filters DD07 (studi kasus : PT. Filtrona Indonesia, Surabaya, Jawa Timur,” </w:t>
      </w:r>
      <w:r w:rsidRPr="007A70A4">
        <w:rPr>
          <w:i/>
          <w:iCs/>
          <w:noProof/>
          <w:sz w:val="20"/>
        </w:rPr>
        <w:t>Jur. Tek. Ind. Univ. Brawijaya</w:t>
      </w:r>
      <w:r w:rsidRPr="007A70A4">
        <w:rPr>
          <w:noProof/>
          <w:sz w:val="20"/>
        </w:rPr>
        <w:t>, vol. 07, pp. 379–391, 2012, [Online]. Available: https://media.neliti.com/media/publications/127943-ID-analisis-overall-equipment-effectiveness.pdf</w:t>
      </w:r>
    </w:p>
    <w:p w14:paraId="4184B715"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[21]</w:t>
      </w:r>
      <w:r w:rsidRPr="007A70A4">
        <w:rPr>
          <w:noProof/>
          <w:sz w:val="20"/>
        </w:rPr>
        <w:tab/>
        <w:t xml:space="preserve">B. Prasisko and M. A. Jumali, “Indentifikasi Jalur Kritis pada Proses Pemindahan Sarana Produksi Krimer Retail dengan Metode CPM pada PT X,” </w:t>
      </w:r>
      <w:r w:rsidRPr="007A70A4">
        <w:rPr>
          <w:i/>
          <w:iCs/>
          <w:noProof/>
          <w:sz w:val="20"/>
        </w:rPr>
        <w:t>Fact. J. Ind. Manaj. dan Rekayasa Sist. Ind.</w:t>
      </w:r>
      <w:r w:rsidRPr="007A70A4">
        <w:rPr>
          <w:noProof/>
          <w:sz w:val="20"/>
        </w:rPr>
        <w:t>, vol. 4, no. 2 SE-Articles, pp. 246–257, Jan. 2026, doi: 10.56211/factory.v4i2.1382.</w:t>
      </w:r>
    </w:p>
    <w:p w14:paraId="1B706963"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[22]</w:t>
      </w:r>
      <w:r w:rsidRPr="007A70A4">
        <w:rPr>
          <w:noProof/>
          <w:sz w:val="20"/>
        </w:rPr>
        <w:tab/>
        <w:t xml:space="preserve">F. Fassa, A. Soekiman, and A. Wibowo, “Manajemen Risiko di Industri Konstruksi Periode 2017 s. d 2020: Tinjauan Sistematis dan Analisis Konten,” </w:t>
      </w:r>
      <w:r w:rsidRPr="007A70A4">
        <w:rPr>
          <w:i/>
          <w:iCs/>
          <w:noProof/>
          <w:sz w:val="20"/>
        </w:rPr>
        <w:t>Simp. Nas. Teknol. Infrastruktur Abad Ke-21, Febr.</w:t>
      </w:r>
      <w:r w:rsidRPr="007A70A4">
        <w:rPr>
          <w:noProof/>
          <w:sz w:val="20"/>
        </w:rPr>
        <w:t>, 2021.</w:t>
      </w:r>
    </w:p>
    <w:p w14:paraId="4287BCC1"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[23]</w:t>
      </w:r>
      <w:r w:rsidRPr="007A70A4">
        <w:rPr>
          <w:noProof/>
          <w:sz w:val="20"/>
        </w:rPr>
        <w:tab/>
        <w:t xml:space="preserve">G. Popov, B. K. Lyon, and B. D. Hollcroft, </w:t>
      </w:r>
      <w:r w:rsidRPr="007A70A4">
        <w:rPr>
          <w:i/>
          <w:iCs/>
          <w:noProof/>
          <w:sz w:val="20"/>
        </w:rPr>
        <w:t>Risk Assessment: A Practical Guide to Assessing Operational Risks</w:t>
      </w:r>
      <w:r w:rsidRPr="007A70A4">
        <w:rPr>
          <w:noProof/>
          <w:sz w:val="20"/>
        </w:rPr>
        <w:t>. Wiley, 2022.</w:t>
      </w:r>
    </w:p>
    <w:p w14:paraId="6C60FE05"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[24]</w:t>
      </w:r>
      <w:r w:rsidRPr="007A70A4">
        <w:rPr>
          <w:noProof/>
          <w:sz w:val="20"/>
        </w:rPr>
        <w:tab/>
        <w:t>I. O. for Standardization, “ISO 31010:2019 Risk Management: Risk Assessment Techniques.” International Organization for Standardization, 2019.</w:t>
      </w:r>
    </w:p>
    <w:p w14:paraId="5FFDF1B6"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[25]</w:t>
      </w:r>
      <w:r w:rsidRPr="007A70A4">
        <w:rPr>
          <w:noProof/>
          <w:sz w:val="20"/>
        </w:rPr>
        <w:tab/>
        <w:t xml:space="preserve">D. Bertsimas and N. Kallus, “From Predictive to Prescriptive Analytics,” </w:t>
      </w:r>
      <w:r w:rsidRPr="007A70A4">
        <w:rPr>
          <w:i/>
          <w:iCs/>
          <w:noProof/>
          <w:sz w:val="20"/>
        </w:rPr>
        <w:t>Manage. Sci.</w:t>
      </w:r>
      <w:r w:rsidRPr="007A70A4">
        <w:rPr>
          <w:noProof/>
          <w:sz w:val="20"/>
        </w:rPr>
        <w:t>, vol. 66, no. 3, pp. 1025–1044, Aug. 2019, doi: 10.1287/mnsc.2018.3253.</w:t>
      </w:r>
    </w:p>
    <w:p w14:paraId="2C2EC289"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[26]</w:t>
      </w:r>
      <w:r w:rsidRPr="007A70A4">
        <w:rPr>
          <w:noProof/>
          <w:sz w:val="20"/>
        </w:rPr>
        <w:tab/>
        <w:t xml:space="preserve">C. A. Naranjo, “A method for estimating the probability of adverse drug reactions,” </w:t>
      </w:r>
      <w:r w:rsidRPr="007A70A4">
        <w:rPr>
          <w:i/>
          <w:iCs/>
          <w:noProof/>
          <w:sz w:val="20"/>
        </w:rPr>
        <w:t>Clin. Pharmacol. Ther.</w:t>
      </w:r>
      <w:r w:rsidRPr="007A70A4">
        <w:rPr>
          <w:noProof/>
          <w:sz w:val="20"/>
        </w:rPr>
        <w:t>, vol. 30, no. 2, pp. 239–245, 1981, doi: 10.1038/clpt.1981.154.</w:t>
      </w:r>
    </w:p>
    <w:p w14:paraId="18E9DF6F"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[27]</w:t>
      </w:r>
      <w:r w:rsidRPr="007A70A4">
        <w:rPr>
          <w:noProof/>
          <w:sz w:val="20"/>
        </w:rPr>
        <w:tab/>
        <w:t xml:space="preserve">H. Sun, H. Wang, M. Yang, and G. Reniers, “Resilience-Based Approach to Safety Barrier Performance Assessment in Process Facilities,” </w:t>
      </w:r>
      <w:r w:rsidRPr="007A70A4">
        <w:rPr>
          <w:i/>
          <w:iCs/>
          <w:noProof/>
          <w:sz w:val="20"/>
        </w:rPr>
        <w:t>J. Loss Prev. Process Ind.</w:t>
      </w:r>
      <w:r w:rsidRPr="007A70A4">
        <w:rPr>
          <w:noProof/>
          <w:sz w:val="20"/>
        </w:rPr>
        <w:t>, vol. 73, p. 104599, 2021, doi: 10.1016/j.jlp.2021.104599.</w:t>
      </w:r>
    </w:p>
    <w:p w14:paraId="5F2D5ABF"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[28]</w:t>
      </w:r>
      <w:r w:rsidRPr="007A70A4">
        <w:rPr>
          <w:noProof/>
          <w:sz w:val="20"/>
        </w:rPr>
        <w:tab/>
        <w:t xml:space="preserve">J. D. Burlison, R. R. Quillivan, L. M. Kath, Y. Zhou, and ..., “A multilevel analysis of US hospital patient safety culture relationships with perceptions of voluntary event reporting,” </w:t>
      </w:r>
      <w:r w:rsidRPr="007A70A4">
        <w:rPr>
          <w:i/>
          <w:iCs/>
          <w:noProof/>
          <w:sz w:val="20"/>
        </w:rPr>
        <w:t>Journal of patient …</w:t>
      </w:r>
      <w:r w:rsidRPr="007A70A4">
        <w:rPr>
          <w:noProof/>
          <w:sz w:val="20"/>
        </w:rPr>
        <w:t>. ncbi.nlm.nih.gov, 2020. [Online]. Available: https://www.ncbi.nlm.nih.gov/pmc/articles/PMC5415419/</w:t>
      </w:r>
    </w:p>
    <w:p w14:paraId="69FF3EC8"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[29]</w:t>
      </w:r>
      <w:r w:rsidRPr="007A70A4">
        <w:rPr>
          <w:noProof/>
          <w:sz w:val="20"/>
        </w:rPr>
        <w:tab/>
        <w:t xml:space="preserve">G. Ye, K. Xu, and W. Wu, “Mixed Multiple-Variable Modelling of Acoustic Emission Signals for Valve Internal Leakage Detection,” </w:t>
      </w:r>
      <w:r w:rsidRPr="007A70A4">
        <w:rPr>
          <w:i/>
          <w:iCs/>
          <w:noProof/>
          <w:sz w:val="20"/>
        </w:rPr>
        <w:t>IET Sci. Meas. Technol.</w:t>
      </w:r>
      <w:r w:rsidRPr="007A70A4">
        <w:rPr>
          <w:noProof/>
          <w:sz w:val="20"/>
        </w:rPr>
        <w:t>, vol. 15, no. 6, pp. 487–498, 2021, doi: 10.1049/smt2.12049.</w:t>
      </w:r>
    </w:p>
    <w:p w14:paraId="00185FFE"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[30]</w:t>
      </w:r>
      <w:r w:rsidRPr="007A70A4">
        <w:rPr>
          <w:noProof/>
          <w:sz w:val="20"/>
        </w:rPr>
        <w:tab/>
        <w:t xml:space="preserve">Indonesia.Badan Standardisasi Nasional, </w:t>
      </w:r>
      <w:r w:rsidRPr="007A70A4">
        <w:rPr>
          <w:i/>
          <w:iCs/>
          <w:noProof/>
          <w:sz w:val="20"/>
        </w:rPr>
        <w:t>Peraturan Badan Standardisasi Nasional Nomor 4 Tahun 2023 tentang Perubahan Kedua Atas Peraturan Badan Standardisasi Nasional Nomor 4 Tahun 2021 tentang Skema Penilaian Kesesuaian terhadap Standar Nasional Indonesia Sektor Pertanian, Perkebunan, Peternaka</w:t>
      </w:r>
      <w:r w:rsidRPr="007A70A4">
        <w:rPr>
          <w:noProof/>
          <w:sz w:val="20"/>
        </w:rPr>
        <w:t>. Indonesia, 2023. [Online]. Available: https://jdih.bsn.go.id/dokumen-hukum-detail/Peraturan-Badan-Standardisasi-Nasional-Nomor-4-Tahun-2023-tentang-Perubahan-Kedua-Atas-Peraturan-Badan-Standardisasi-Nasional-Nomor-4-Tahun-2021-tentang-Skema-Penilaian-Kesesuaian-terhadap-Standar-Nasional-Indon</w:t>
      </w:r>
    </w:p>
    <w:p w14:paraId="422744E0"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[31]</w:t>
      </w:r>
      <w:r w:rsidRPr="007A70A4">
        <w:rPr>
          <w:noProof/>
          <w:sz w:val="20"/>
        </w:rPr>
        <w:tab/>
        <w:t>ANSI/ASSP, “ANSI/ASSP Z590.3-2021 Prevention Through Design: Guidelines for Addressing Occupational Hazards and Risks in Design and Redesign Processes.” American Society of Safety Professionals, 2021.</w:t>
      </w:r>
    </w:p>
    <w:p w14:paraId="778A28A7"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[32]</w:t>
      </w:r>
      <w:r w:rsidRPr="007A70A4">
        <w:rPr>
          <w:noProof/>
          <w:sz w:val="20"/>
        </w:rPr>
        <w:tab/>
        <w:t xml:space="preserve">K. Sotoodeh, “Failure Mode and Effect Analysis (FMEA) of Pipeline Ball Valves in the Offshore Industry,” </w:t>
      </w:r>
      <w:r w:rsidRPr="007A70A4">
        <w:rPr>
          <w:i/>
          <w:iCs/>
          <w:noProof/>
          <w:sz w:val="20"/>
        </w:rPr>
        <w:t>J. Fail. Anal. Prev.</w:t>
      </w:r>
      <w:r w:rsidRPr="007A70A4">
        <w:rPr>
          <w:noProof/>
          <w:sz w:val="20"/>
        </w:rPr>
        <w:t>, vol. 20, no. 4, pp. 1175–1183, 2020, doi: 10.1007/s11668-020-00919-8.</w:t>
      </w:r>
    </w:p>
    <w:p w14:paraId="0A468FFF"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[33]</w:t>
      </w:r>
      <w:r w:rsidRPr="007A70A4">
        <w:rPr>
          <w:noProof/>
          <w:sz w:val="20"/>
        </w:rPr>
        <w:tab/>
        <w:t xml:space="preserve">A. Maniram Kumar, S. Rajakarunakaran, P. Pitchipoo, and R. Vimalesan, “Fuzzy Based Risk Prioritisation in an Auto LPG Dispensing Station,” </w:t>
      </w:r>
      <w:r w:rsidRPr="007A70A4">
        <w:rPr>
          <w:i/>
          <w:iCs/>
          <w:noProof/>
          <w:sz w:val="20"/>
        </w:rPr>
        <w:t>Saf. Sci.</w:t>
      </w:r>
      <w:r w:rsidRPr="007A70A4">
        <w:rPr>
          <w:noProof/>
          <w:sz w:val="20"/>
        </w:rPr>
        <w:t>, vol. 101, pp. 231–247, 2018, doi: 10.1016/j.ssci.2017.09.011.</w:t>
      </w:r>
    </w:p>
    <w:p w14:paraId="500EF0E5" w14:textId="77777777" w:rsidR="007A70A4" w:rsidRPr="007A70A4" w:rsidRDefault="007A70A4" w:rsidP="001E2AD3">
      <w:pPr>
        <w:widowControl w:val="0"/>
        <w:autoSpaceDE w:val="0"/>
        <w:autoSpaceDN w:val="0"/>
        <w:adjustRightInd w:val="0"/>
        <w:ind w:left="640" w:hanging="640"/>
        <w:jc w:val="both"/>
        <w:rPr>
          <w:noProof/>
          <w:sz w:val="20"/>
        </w:rPr>
      </w:pPr>
      <w:r w:rsidRPr="007A70A4">
        <w:rPr>
          <w:noProof/>
          <w:sz w:val="20"/>
        </w:rPr>
        <w:t>[34]</w:t>
      </w:r>
      <w:r w:rsidRPr="007A70A4">
        <w:rPr>
          <w:noProof/>
          <w:sz w:val="20"/>
        </w:rPr>
        <w:tab/>
        <w:t xml:space="preserve">R. Zhang, T. Chen, Y. Wang, and M. Short, “Systems approaches for sustainable fisheries: A comprehensive review and future perspectives,” </w:t>
      </w:r>
      <w:r w:rsidRPr="007A70A4">
        <w:rPr>
          <w:i/>
          <w:iCs/>
          <w:noProof/>
          <w:sz w:val="20"/>
        </w:rPr>
        <w:t>Sustain. Prod. Consum.</w:t>
      </w:r>
      <w:r w:rsidRPr="007A70A4">
        <w:rPr>
          <w:noProof/>
          <w:sz w:val="20"/>
        </w:rPr>
        <w:t>, vol. 41, pp. 242–252, 2023, doi: https://doi.org/10.1016/j.spc.2023.08.013.</w:t>
      </w:r>
    </w:p>
    <w:p w14:paraId="4DAA32CA" w14:textId="14E0F4B9" w:rsidR="00695CE7" w:rsidRDefault="007A70A4" w:rsidP="001E2AD3">
      <w:pPr>
        <w:pBdr>
          <w:top w:val="nil"/>
          <w:left w:val="nil"/>
          <w:bottom w:val="nil"/>
          <w:right w:val="nil"/>
          <w:between w:val="nil"/>
        </w:pBdr>
        <w:jc w:val="both"/>
        <w:rPr>
          <w:sz w:val="20"/>
          <w:szCs w:val="20"/>
        </w:rPr>
      </w:pPr>
      <w:r>
        <w:rPr>
          <w:color w:val="000000"/>
          <w:sz w:val="20"/>
          <w:szCs w:val="20"/>
        </w:rPr>
        <w:fldChar w:fldCharType="end"/>
      </w:r>
    </w:p>
    <w:sectPr w:rsidR="00695CE7">
      <w:headerReference w:type="even" r:id="rId9"/>
      <w:headerReference w:type="default" r:id="rId10"/>
      <w:footerReference w:type="even" r:id="rId11"/>
      <w:footerReference w:type="default" r:id="rId12"/>
      <w:headerReference w:type="first" r:id="rId13"/>
      <w:footerReference w:type="first" r:id="rId14"/>
      <w:pgSz w:w="11907" w:h="16839"/>
      <w:pgMar w:top="1418" w:right="1418"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2F9F2" w14:textId="77777777" w:rsidR="006F6F3E" w:rsidRDefault="006F6F3E">
      <w:r>
        <w:separator/>
      </w:r>
    </w:p>
  </w:endnote>
  <w:endnote w:type="continuationSeparator" w:id="0">
    <w:p w14:paraId="4DD29728" w14:textId="77777777" w:rsidR="006F6F3E" w:rsidRDefault="006F6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F8702" w14:textId="4D2C5D44" w:rsidR="00695CE7" w:rsidRDefault="002E5764">
    <w:pPr>
      <w:pBdr>
        <w:top w:val="nil"/>
        <w:left w:val="nil"/>
        <w:bottom w:val="nil"/>
        <w:right w:val="nil"/>
        <w:between w:val="nil"/>
      </w:pBdr>
      <w:tabs>
        <w:tab w:val="center" w:pos="4680"/>
        <w:tab w:val="right" w:pos="9360"/>
      </w:tabs>
      <w:rPr>
        <w:i/>
        <w:color w:val="000000"/>
        <w:sz w:val="16"/>
        <w:szCs w:val="16"/>
      </w:rPr>
    </w:pPr>
    <w:r>
      <w:rPr>
        <w:i/>
        <w:color w:val="000000"/>
        <w:sz w:val="16"/>
        <w:szCs w:val="16"/>
      </w:rPr>
      <w:t>WAKTU. e-ISSN: 2715-4947 p-ISSN: 1412-1867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B49E" w14:textId="3E3FE59E" w:rsidR="00695CE7" w:rsidRDefault="000A1C6D">
    <w:pPr>
      <w:jc w:val="right"/>
      <w:rPr>
        <w:sz w:val="16"/>
        <w:szCs w:val="16"/>
      </w:rPr>
    </w:pPr>
    <w:r w:rsidRPr="000A1C6D">
      <w:rPr>
        <w:sz w:val="16"/>
        <w:szCs w:val="16"/>
      </w:rPr>
      <w:t>Rizal Fawzi</w:t>
    </w:r>
    <w:r w:rsidRPr="000A1C6D">
      <w:rPr>
        <w:sz w:val="16"/>
        <w:szCs w:val="16"/>
      </w:rPr>
      <w:t xml:space="preserve"> </w:t>
    </w:r>
    <w:r w:rsidR="001B55DF">
      <w:rPr>
        <w:sz w:val="16"/>
        <w:szCs w:val="16"/>
      </w:rPr>
      <w:t xml:space="preserve">/ </w:t>
    </w:r>
    <w:r w:rsidRPr="000A1C6D">
      <w:rPr>
        <w:sz w:val="16"/>
        <w:szCs w:val="16"/>
      </w:rPr>
      <w:t>Analisis Risiko Overpressure pada Propylene Recovery Unit dengan FMEA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887A9" w14:textId="77777777" w:rsidR="00695CE7" w:rsidRDefault="002E5764">
    <w:pPr>
      <w:pBdr>
        <w:top w:val="nil"/>
        <w:left w:val="nil"/>
        <w:bottom w:val="nil"/>
        <w:right w:val="nil"/>
        <w:between w:val="nil"/>
      </w:pBdr>
      <w:tabs>
        <w:tab w:val="left" w:pos="142"/>
      </w:tabs>
      <w:rPr>
        <w:color w:val="000000"/>
        <w:sz w:val="16"/>
        <w:szCs w:val="16"/>
      </w:rPr>
    </w:pPr>
    <w:r>
      <w:rPr>
        <w:color w:val="000000"/>
        <w:sz w:val="16"/>
        <w:szCs w:val="16"/>
      </w:rPr>
      <w:t>*Corresponding author.</w:t>
    </w:r>
  </w:p>
  <w:p w14:paraId="29F90788" w14:textId="6A6D17D2" w:rsidR="00695CE7" w:rsidRDefault="002E5764">
    <w:pPr>
      <w:pBdr>
        <w:top w:val="nil"/>
        <w:left w:val="nil"/>
        <w:bottom w:val="nil"/>
        <w:right w:val="nil"/>
        <w:between w:val="nil"/>
      </w:pBdr>
      <w:tabs>
        <w:tab w:val="center" w:pos="4680"/>
        <w:tab w:val="right" w:pos="9360"/>
      </w:tabs>
      <w:rPr>
        <w:color w:val="000000"/>
        <w:sz w:val="16"/>
        <w:szCs w:val="16"/>
      </w:rPr>
    </w:pPr>
    <w:r>
      <w:rPr>
        <w:color w:val="000000"/>
        <w:sz w:val="16"/>
        <w:szCs w:val="16"/>
      </w:rPr>
      <w:t xml:space="preserve">E-mail addresses: </w:t>
    </w:r>
    <w:hyperlink r:id="rId1" w:history="1">
      <w:r w:rsidR="009E4D86" w:rsidRPr="00F833B0">
        <w:rPr>
          <w:rStyle w:val="Hyperlink"/>
          <w:sz w:val="16"/>
          <w:szCs w:val="16"/>
        </w:rPr>
        <w:t>manikayu@unipasby.ac.id</w:t>
      </w:r>
    </w:hyperlink>
    <w:r>
      <w:rPr>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6D884" w14:textId="77777777" w:rsidR="006F6F3E" w:rsidRDefault="006F6F3E">
      <w:r>
        <w:separator/>
      </w:r>
    </w:p>
  </w:footnote>
  <w:footnote w:type="continuationSeparator" w:id="0">
    <w:p w14:paraId="12F091C2" w14:textId="77777777" w:rsidR="006F6F3E" w:rsidRDefault="006F6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3C3DD" w14:textId="1C62CBAD" w:rsidR="00695CE7" w:rsidRDefault="002E5764">
    <w:pPr>
      <w:pBdr>
        <w:top w:val="nil"/>
        <w:left w:val="nil"/>
        <w:bottom w:val="nil"/>
        <w:right w:val="nil"/>
        <w:between w:val="nil"/>
      </w:pBdr>
      <w:tabs>
        <w:tab w:val="center" w:pos="4680"/>
        <w:tab w:val="right" w:pos="9360"/>
        <w:tab w:val="center" w:pos="5103"/>
        <w:tab w:val="left" w:pos="7225"/>
        <w:tab w:val="right" w:pos="9072"/>
        <w:tab w:val="left" w:pos="9306"/>
      </w:tabs>
      <w:rPr>
        <w:color w:val="000000"/>
        <w:sz w:val="28"/>
        <w:szCs w:val="28"/>
      </w:rPr>
    </w:pPr>
    <w:r>
      <w:rPr>
        <w:i/>
        <w:color w:val="000000"/>
        <w:sz w:val="18"/>
        <w:szCs w:val="18"/>
      </w:rPr>
      <w:t>WAKTU, Vol. xx, No. xx, 2023, pp. xx</w:t>
    </w:r>
    <w:r>
      <w:rPr>
        <w:color w:val="000000"/>
        <w:sz w:val="18"/>
        <w:szCs w:val="18"/>
      </w:rPr>
      <w:t>-yy</w:t>
    </w:r>
    <w:r>
      <w:rPr>
        <w:color w:val="000000"/>
        <w:sz w:val="32"/>
        <w:szCs w:val="32"/>
      </w:rPr>
      <w:tab/>
    </w:r>
    <w:r>
      <w:rPr>
        <w:color w:val="000000"/>
        <w:sz w:val="32"/>
        <w:szCs w:val="32"/>
      </w:rPr>
      <w:tab/>
      <w:t xml:space="preserve">        </w:t>
    </w:r>
    <w:r>
      <w:rPr>
        <w:color w:val="000000"/>
        <w:sz w:val="18"/>
        <w:szCs w:val="1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22572F">
      <w:rPr>
        <w:noProof/>
        <w:color w:val="000000"/>
        <w:sz w:val="18"/>
        <w:szCs w:val="18"/>
      </w:rPr>
      <w:t>2</w:t>
    </w:r>
    <w:r>
      <w:rPr>
        <w:color w:val="000000"/>
        <w:sz w:val="18"/>
        <w:szCs w:val="18"/>
      </w:rPr>
      <w:fldChar w:fldCharType="end"/>
    </w:r>
  </w:p>
  <w:p w14:paraId="4BDDD139" w14:textId="77777777" w:rsidR="00695CE7" w:rsidRDefault="00695CE7">
    <w:pPr>
      <w:pBdr>
        <w:top w:val="nil"/>
        <w:left w:val="nil"/>
        <w:bottom w:val="nil"/>
        <w:right w:val="nil"/>
        <w:between w:val="nil"/>
      </w:pBdr>
      <w:tabs>
        <w:tab w:val="center" w:pos="4680"/>
        <w:tab w:val="right" w:pos="9360"/>
      </w:tabs>
      <w:rPr>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61F0" w14:textId="3A02E6F3" w:rsidR="00695CE7" w:rsidRDefault="002E5764">
    <w:pPr>
      <w:pBdr>
        <w:top w:val="nil"/>
        <w:left w:val="nil"/>
        <w:bottom w:val="nil"/>
        <w:right w:val="nil"/>
        <w:between w:val="nil"/>
      </w:pBdr>
      <w:tabs>
        <w:tab w:val="center" w:pos="4680"/>
        <w:tab w:val="right" w:pos="9360"/>
        <w:tab w:val="center" w:pos="5103"/>
        <w:tab w:val="right" w:pos="8931"/>
        <w:tab w:val="left" w:pos="9306"/>
      </w:tabs>
      <w:rPr>
        <w:color w:val="000000"/>
        <w:sz w:val="28"/>
        <w:szCs w:val="28"/>
      </w:rPr>
    </w:pPr>
    <w:r>
      <w:rPr>
        <w:i/>
        <w:color w:val="000000"/>
        <w:sz w:val="18"/>
        <w:szCs w:val="18"/>
      </w:rPr>
      <w:t>WAKTU, Vol. xx, No. xx, 2022, pp. xx-yy</w:t>
    </w:r>
    <w:r>
      <w:rPr>
        <w:color w:val="000000"/>
        <w:sz w:val="18"/>
        <w:szCs w:val="18"/>
      </w:rPr>
      <w:tab/>
    </w:r>
    <w:r>
      <w:rPr>
        <w:color w:val="000000"/>
        <w:sz w:val="32"/>
        <w:szCs w:val="32"/>
      </w:rPr>
      <w:t xml:space="preserve">        </w:t>
    </w:r>
    <w:r>
      <w:rPr>
        <w:color w:val="000000"/>
        <w:sz w:val="18"/>
        <w:szCs w:val="1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22572F">
      <w:rPr>
        <w:noProof/>
        <w:color w:val="000000"/>
        <w:sz w:val="18"/>
        <w:szCs w:val="18"/>
      </w:rPr>
      <w:t>3</w:t>
    </w:r>
    <w:r>
      <w:rPr>
        <w:color w:val="000000"/>
        <w:sz w:val="18"/>
        <w:szCs w:val="18"/>
      </w:rPr>
      <w:fldChar w:fldCharType="end"/>
    </w:r>
    <w:r>
      <w:rPr>
        <w:color w:val="000000"/>
      </w:rPr>
      <w:tab/>
    </w:r>
  </w:p>
  <w:p w14:paraId="2F0C0CE7" w14:textId="77777777" w:rsidR="00695CE7" w:rsidRDefault="00695CE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E9BE" w14:textId="6DB1C190" w:rsidR="00695CE7" w:rsidRDefault="002E5764">
    <w:pPr>
      <w:pBdr>
        <w:top w:val="single" w:sz="4" w:space="1" w:color="000000"/>
      </w:pBdr>
      <w:rPr>
        <w:b/>
        <w:sz w:val="20"/>
        <w:szCs w:val="20"/>
      </w:rPr>
    </w:pPr>
    <w:r w:rsidRPr="0049368E">
      <w:rPr>
        <w:noProof/>
        <w:sz w:val="16"/>
        <w:szCs w:val="16"/>
      </w:rPr>
      <w:drawing>
        <wp:anchor distT="0" distB="0" distL="0" distR="0" simplePos="0" relativeHeight="251658240" behindDoc="1" locked="0" layoutInCell="1" hidden="0" allowOverlap="1" wp14:anchorId="25AA90FA" wp14:editId="53168F95">
          <wp:simplePos x="0" y="0"/>
          <wp:positionH relativeFrom="column">
            <wp:posOffset>5278120</wp:posOffset>
          </wp:positionH>
          <wp:positionV relativeFrom="paragraph">
            <wp:posOffset>19050</wp:posOffset>
          </wp:positionV>
          <wp:extent cx="458808" cy="648970"/>
          <wp:effectExtent l="0" t="0" r="0" b="0"/>
          <wp:wrapNone/>
          <wp:docPr id="102" name="image1.jpg"/>
          <wp:cNvGraphicFramePr/>
          <a:graphic xmlns:a="http://schemas.openxmlformats.org/drawingml/2006/main">
            <a:graphicData uri="http://schemas.openxmlformats.org/drawingml/2006/picture">
              <pic:pic xmlns:pic="http://schemas.openxmlformats.org/drawingml/2006/picture">
                <pic:nvPicPr>
                  <pic:cNvPr id="102"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458808" cy="648970"/>
                  </a:xfrm>
                  <a:prstGeom prst="rect">
                    <a:avLst/>
                  </a:prstGeom>
                  <a:ln/>
                </pic:spPr>
              </pic:pic>
            </a:graphicData>
          </a:graphic>
          <wp14:sizeRelH relativeFrom="margin">
            <wp14:pctWidth>0</wp14:pctWidth>
          </wp14:sizeRelH>
        </wp:anchor>
      </w:drawing>
    </w:r>
    <w:r w:rsidR="0049368E" w:rsidRPr="0049368E">
      <w:rPr>
        <w:noProof/>
        <w:sz w:val="16"/>
        <w:szCs w:val="16"/>
      </w:rPr>
      <w:t>Wahana Aktivitas dan Kreativitas Teknologi Unipasby</w:t>
    </w:r>
    <w:r>
      <w:rPr>
        <w:b/>
        <w:sz w:val="20"/>
        <w:szCs w:val="20"/>
      </w:rPr>
      <w:t xml:space="preserve"> </w:t>
    </w:r>
    <w:r w:rsidR="0049368E">
      <w:rPr>
        <w:b/>
        <w:sz w:val="20"/>
        <w:szCs w:val="20"/>
      </w:rPr>
      <w:t>(</w:t>
    </w:r>
    <w:r>
      <w:rPr>
        <w:b/>
        <w:sz w:val="20"/>
        <w:szCs w:val="20"/>
      </w:rPr>
      <w:t>WAKTU</w:t>
    </w:r>
    <w:r w:rsidR="0049368E">
      <w:rPr>
        <w:b/>
        <w:sz w:val="20"/>
        <w:szCs w:val="20"/>
      </w:rPr>
      <w:t>)</w:t>
    </w:r>
    <w:r>
      <w:rPr>
        <w:b/>
        <w:sz w:val="20"/>
        <w:szCs w:val="20"/>
      </w:rPr>
      <w:t xml:space="preserve"> </w:t>
    </w:r>
  </w:p>
  <w:p w14:paraId="7B85F78F" w14:textId="77777777" w:rsidR="00695CE7" w:rsidRDefault="002E5764">
    <w:pPr>
      <w:pBdr>
        <w:top w:val="single" w:sz="4" w:space="1" w:color="000000"/>
      </w:pBdr>
      <w:rPr>
        <w:b/>
        <w:sz w:val="20"/>
        <w:szCs w:val="20"/>
      </w:rPr>
    </w:pPr>
    <w:r>
      <w:rPr>
        <w:i/>
        <w:sz w:val="16"/>
        <w:szCs w:val="16"/>
      </w:rPr>
      <w:t>e-ISSN: 2715-4947 p-ISSN: 1412-1867</w:t>
    </w:r>
    <w:r>
      <w:rPr>
        <w:b/>
        <w:sz w:val="20"/>
        <w:szCs w:val="20"/>
      </w:rPr>
      <w:tab/>
    </w:r>
  </w:p>
  <w:p w14:paraId="5D772B79" w14:textId="1E13D0E5" w:rsidR="00695CE7" w:rsidRDefault="002E5764">
    <w:pPr>
      <w:tabs>
        <w:tab w:val="left" w:pos="8722"/>
        <w:tab w:val="right" w:pos="9071"/>
      </w:tabs>
      <w:rPr>
        <w:sz w:val="14"/>
        <w:szCs w:val="14"/>
      </w:rPr>
    </w:pPr>
    <w:bookmarkStart w:id="0" w:name="_heading=h.30j0zll" w:colFirst="0" w:colLast="0"/>
    <w:bookmarkEnd w:id="0"/>
    <w:r>
      <w:rPr>
        <w:sz w:val="14"/>
        <w:szCs w:val="14"/>
      </w:rPr>
      <w:t>Vol xx N</w:t>
    </w:r>
    <w:r w:rsidR="008057AC">
      <w:rPr>
        <w:sz w:val="14"/>
        <w:szCs w:val="14"/>
      </w:rPr>
      <w:t>o</w:t>
    </w:r>
    <w:r>
      <w:rPr>
        <w:sz w:val="14"/>
        <w:szCs w:val="14"/>
      </w:rPr>
      <w:t xml:space="preserve"> xx, 2023, pp. xx-yy</w:t>
    </w:r>
    <w:r>
      <w:rPr>
        <w:sz w:val="14"/>
        <w:szCs w:val="14"/>
      </w:rPr>
      <w:tab/>
    </w:r>
    <w:r>
      <w:rPr>
        <w:sz w:val="14"/>
        <w:szCs w:val="14"/>
      </w:rPr>
      <w:tab/>
    </w:r>
  </w:p>
  <w:p w14:paraId="3FCBAAFB" w14:textId="5400B203" w:rsidR="00695CE7" w:rsidRDefault="008057AC">
    <w:pPr>
      <w:rPr>
        <w:sz w:val="14"/>
        <w:szCs w:val="14"/>
      </w:rPr>
    </w:pPr>
    <w:r>
      <w:rPr>
        <w:sz w:val="14"/>
        <w:szCs w:val="14"/>
      </w:rPr>
      <w:t>Accredite</w:t>
    </w:r>
    <w:r w:rsidR="00C5683E">
      <w:rPr>
        <w:sz w:val="14"/>
        <w:szCs w:val="14"/>
      </w:rPr>
      <w:t>d</w:t>
    </w:r>
    <w:r>
      <w:rPr>
        <w:sz w:val="14"/>
        <w:szCs w:val="14"/>
      </w:rPr>
      <w:t xml:space="preserve"> “Sinta 5” by Kemenristek/ BRIN, No SK: 164/E/KPT/2021</w:t>
    </w:r>
    <w:r>
      <w:rPr>
        <w:sz w:val="14"/>
        <w:szCs w:val="14"/>
      </w:rPr>
      <w:tab/>
    </w:r>
  </w:p>
  <w:p w14:paraId="036B39DA" w14:textId="77777777" w:rsidR="00695CE7" w:rsidRDefault="002E5764">
    <w:pPr>
      <w:pBdr>
        <w:bottom w:val="single" w:sz="12" w:space="1" w:color="000000"/>
      </w:pBdr>
      <w:rPr>
        <w:sz w:val="14"/>
        <w:szCs w:val="14"/>
      </w:rPr>
    </w:pPr>
    <w:r>
      <w:rPr>
        <w:sz w:val="14"/>
        <w:szCs w:val="14"/>
      </w:rPr>
      <w:t xml:space="preserve">Open Access: </w:t>
    </w:r>
    <w:r>
      <w:rPr>
        <w:color w:val="0000FF"/>
        <w:sz w:val="14"/>
        <w:szCs w:val="14"/>
        <w:u w:val="single"/>
      </w:rPr>
      <w:t>https://dx.doi.org/10.12345/waktu-unipasby.</w:t>
    </w:r>
  </w:p>
  <w:p w14:paraId="43970B6E" w14:textId="77777777" w:rsidR="00695CE7" w:rsidRDefault="00695CE7">
    <w:pPr>
      <w:pBdr>
        <w:bottom w:val="single" w:sz="12" w:space="1" w:color="000000"/>
      </w:pBdr>
      <w:rPr>
        <w:sz w:val="8"/>
        <w:szCs w:val="8"/>
      </w:rPr>
    </w:pPr>
  </w:p>
  <w:p w14:paraId="149E4D63" w14:textId="77777777" w:rsidR="00695CE7" w:rsidRDefault="00695CE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33307"/>
    <w:multiLevelType w:val="multilevel"/>
    <w:tmpl w:val="820469A8"/>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 w15:restartNumberingAfterBreak="0">
    <w:nsid w:val="28CB33AE"/>
    <w:multiLevelType w:val="multilevel"/>
    <w:tmpl w:val="BFE677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01D76F6"/>
    <w:multiLevelType w:val="hybridMultilevel"/>
    <w:tmpl w:val="0B203E7A"/>
    <w:lvl w:ilvl="0" w:tplc="38090001">
      <w:start w:val="1"/>
      <w:numFmt w:val="bullet"/>
      <w:lvlText w:val=""/>
      <w:lvlJc w:val="left"/>
      <w:pPr>
        <w:ind w:left="990" w:hanging="360"/>
      </w:pPr>
      <w:rPr>
        <w:rFonts w:ascii="Symbol" w:hAnsi="Symbol" w:hint="default"/>
      </w:rPr>
    </w:lvl>
    <w:lvl w:ilvl="1" w:tplc="38090003" w:tentative="1">
      <w:start w:val="1"/>
      <w:numFmt w:val="bullet"/>
      <w:lvlText w:val="o"/>
      <w:lvlJc w:val="left"/>
      <w:pPr>
        <w:ind w:left="1710" w:hanging="360"/>
      </w:pPr>
      <w:rPr>
        <w:rFonts w:ascii="Courier New" w:hAnsi="Courier New" w:cs="Courier New" w:hint="default"/>
      </w:rPr>
    </w:lvl>
    <w:lvl w:ilvl="2" w:tplc="38090005" w:tentative="1">
      <w:start w:val="1"/>
      <w:numFmt w:val="bullet"/>
      <w:lvlText w:val=""/>
      <w:lvlJc w:val="left"/>
      <w:pPr>
        <w:ind w:left="2430" w:hanging="360"/>
      </w:pPr>
      <w:rPr>
        <w:rFonts w:ascii="Wingdings" w:hAnsi="Wingdings" w:hint="default"/>
      </w:rPr>
    </w:lvl>
    <w:lvl w:ilvl="3" w:tplc="38090001" w:tentative="1">
      <w:start w:val="1"/>
      <w:numFmt w:val="bullet"/>
      <w:lvlText w:val=""/>
      <w:lvlJc w:val="left"/>
      <w:pPr>
        <w:ind w:left="3150" w:hanging="360"/>
      </w:pPr>
      <w:rPr>
        <w:rFonts w:ascii="Symbol" w:hAnsi="Symbol" w:hint="default"/>
      </w:rPr>
    </w:lvl>
    <w:lvl w:ilvl="4" w:tplc="38090003" w:tentative="1">
      <w:start w:val="1"/>
      <w:numFmt w:val="bullet"/>
      <w:lvlText w:val="o"/>
      <w:lvlJc w:val="left"/>
      <w:pPr>
        <w:ind w:left="3870" w:hanging="360"/>
      </w:pPr>
      <w:rPr>
        <w:rFonts w:ascii="Courier New" w:hAnsi="Courier New" w:cs="Courier New" w:hint="default"/>
      </w:rPr>
    </w:lvl>
    <w:lvl w:ilvl="5" w:tplc="38090005" w:tentative="1">
      <w:start w:val="1"/>
      <w:numFmt w:val="bullet"/>
      <w:lvlText w:val=""/>
      <w:lvlJc w:val="left"/>
      <w:pPr>
        <w:ind w:left="4590" w:hanging="360"/>
      </w:pPr>
      <w:rPr>
        <w:rFonts w:ascii="Wingdings" w:hAnsi="Wingdings" w:hint="default"/>
      </w:rPr>
    </w:lvl>
    <w:lvl w:ilvl="6" w:tplc="38090001" w:tentative="1">
      <w:start w:val="1"/>
      <w:numFmt w:val="bullet"/>
      <w:lvlText w:val=""/>
      <w:lvlJc w:val="left"/>
      <w:pPr>
        <w:ind w:left="5310" w:hanging="360"/>
      </w:pPr>
      <w:rPr>
        <w:rFonts w:ascii="Symbol" w:hAnsi="Symbol" w:hint="default"/>
      </w:rPr>
    </w:lvl>
    <w:lvl w:ilvl="7" w:tplc="38090003" w:tentative="1">
      <w:start w:val="1"/>
      <w:numFmt w:val="bullet"/>
      <w:lvlText w:val="o"/>
      <w:lvlJc w:val="left"/>
      <w:pPr>
        <w:ind w:left="6030" w:hanging="360"/>
      </w:pPr>
      <w:rPr>
        <w:rFonts w:ascii="Courier New" w:hAnsi="Courier New" w:cs="Courier New" w:hint="default"/>
      </w:rPr>
    </w:lvl>
    <w:lvl w:ilvl="8" w:tplc="38090005" w:tentative="1">
      <w:start w:val="1"/>
      <w:numFmt w:val="bullet"/>
      <w:lvlText w:val=""/>
      <w:lvlJc w:val="left"/>
      <w:pPr>
        <w:ind w:left="6750" w:hanging="360"/>
      </w:pPr>
      <w:rPr>
        <w:rFonts w:ascii="Wingdings" w:hAnsi="Wingdings" w:hint="default"/>
      </w:rPr>
    </w:lvl>
  </w:abstractNum>
  <w:abstractNum w:abstractNumId="3" w15:restartNumberingAfterBreak="0">
    <w:nsid w:val="331E4EE7"/>
    <w:multiLevelType w:val="multilevel"/>
    <w:tmpl w:val="68E6A132"/>
    <w:lvl w:ilvl="0">
      <w:start w:val="1"/>
      <w:numFmt w:val="decimal"/>
      <w:lvlText w:val="%1."/>
      <w:lvlJc w:val="left"/>
      <w:pPr>
        <w:ind w:left="504" w:hanging="216"/>
      </w:pPr>
      <w:rPr>
        <w:rFonts w:ascii="Times New Roman" w:eastAsia="Times New Roman" w:hAnsi="Times New Roman" w:cs="Times New Roman"/>
        <w:sz w:val="22"/>
        <w:szCs w:val="22"/>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911C96"/>
    <w:multiLevelType w:val="hybridMultilevel"/>
    <w:tmpl w:val="C4769026"/>
    <w:lvl w:ilvl="0" w:tplc="2A74E770">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E3F0FE8"/>
    <w:multiLevelType w:val="multilevel"/>
    <w:tmpl w:val="BD88A382"/>
    <w:lvl w:ilvl="0">
      <w:start w:val="1"/>
      <w:numFmt w:val="decimal"/>
      <w:lvlText w:val="%1)  "/>
      <w:lvlJc w:val="left"/>
      <w:pPr>
        <w:ind w:left="0" w:firstLine="0"/>
      </w:p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6" w15:restartNumberingAfterBreak="0">
    <w:nsid w:val="57395F5B"/>
    <w:multiLevelType w:val="multilevel"/>
    <w:tmpl w:val="CFEAD548"/>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60C7EF7"/>
    <w:multiLevelType w:val="multilevel"/>
    <w:tmpl w:val="DE42382A"/>
    <w:lvl w:ilvl="0">
      <w:start w:val="1"/>
      <w:numFmt w:val="upperLetter"/>
      <w:lvlText w:val="%1."/>
      <w:lvlJc w:val="left"/>
      <w:pPr>
        <w:ind w:left="288" w:hanging="288"/>
      </w:pPr>
      <w:rPr>
        <w:rFonts w:ascii="Times New Roman" w:eastAsia="Times New Roman" w:hAnsi="Times New Roman" w:cs="Times New Roman"/>
        <w:b/>
        <w:i w:val="0"/>
        <w:iCs w:val="0"/>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7F3742FE"/>
    <w:multiLevelType w:val="hybridMultilevel"/>
    <w:tmpl w:val="9426F886"/>
    <w:lvl w:ilvl="0" w:tplc="C2D02C5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7"/>
  </w:num>
  <w:num w:numId="2">
    <w:abstractNumId w:val="0"/>
  </w:num>
  <w:num w:numId="3">
    <w:abstractNumId w:val="3"/>
  </w:num>
  <w:num w:numId="4">
    <w:abstractNumId w:val="1"/>
  </w:num>
  <w:num w:numId="5">
    <w:abstractNumId w:val="5"/>
  </w:num>
  <w:num w:numId="6">
    <w:abstractNumId w:val="6"/>
  </w:num>
  <w:num w:numId="7">
    <w:abstractNumId w:val="8"/>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CE7"/>
    <w:rsid w:val="00033CD7"/>
    <w:rsid w:val="00051DB9"/>
    <w:rsid w:val="000A1C6D"/>
    <w:rsid w:val="000F2913"/>
    <w:rsid w:val="00106295"/>
    <w:rsid w:val="001610E2"/>
    <w:rsid w:val="00167488"/>
    <w:rsid w:val="00194DA9"/>
    <w:rsid w:val="001B55DF"/>
    <w:rsid w:val="001C7194"/>
    <w:rsid w:val="001E1B44"/>
    <w:rsid w:val="001E2AD3"/>
    <w:rsid w:val="0022572F"/>
    <w:rsid w:val="00296209"/>
    <w:rsid w:val="002D33F3"/>
    <w:rsid w:val="002E5764"/>
    <w:rsid w:val="0032401F"/>
    <w:rsid w:val="003417AF"/>
    <w:rsid w:val="00357EEB"/>
    <w:rsid w:val="003E1808"/>
    <w:rsid w:val="00453894"/>
    <w:rsid w:val="00467989"/>
    <w:rsid w:val="0049368E"/>
    <w:rsid w:val="004D5811"/>
    <w:rsid w:val="004F67E4"/>
    <w:rsid w:val="00542A05"/>
    <w:rsid w:val="006012A6"/>
    <w:rsid w:val="00612CED"/>
    <w:rsid w:val="006351C0"/>
    <w:rsid w:val="00695CE7"/>
    <w:rsid w:val="006F6F3E"/>
    <w:rsid w:val="00706926"/>
    <w:rsid w:val="00723F89"/>
    <w:rsid w:val="00730B2B"/>
    <w:rsid w:val="00734EDF"/>
    <w:rsid w:val="007A541B"/>
    <w:rsid w:val="007A70A4"/>
    <w:rsid w:val="007E4CB4"/>
    <w:rsid w:val="007E6F61"/>
    <w:rsid w:val="008057AC"/>
    <w:rsid w:val="00872B6C"/>
    <w:rsid w:val="008B5E8C"/>
    <w:rsid w:val="008C7006"/>
    <w:rsid w:val="009168D9"/>
    <w:rsid w:val="009E3992"/>
    <w:rsid w:val="009E4D86"/>
    <w:rsid w:val="00AC7481"/>
    <w:rsid w:val="00AE118A"/>
    <w:rsid w:val="00AF0420"/>
    <w:rsid w:val="00B80086"/>
    <w:rsid w:val="00BD2BC9"/>
    <w:rsid w:val="00BD6CEE"/>
    <w:rsid w:val="00C05413"/>
    <w:rsid w:val="00C11332"/>
    <w:rsid w:val="00C3053E"/>
    <w:rsid w:val="00C46977"/>
    <w:rsid w:val="00C5683E"/>
    <w:rsid w:val="00C92248"/>
    <w:rsid w:val="00E11F22"/>
    <w:rsid w:val="00E72053"/>
    <w:rsid w:val="00E76669"/>
    <w:rsid w:val="00E954E3"/>
    <w:rsid w:val="00EA526B"/>
    <w:rsid w:val="00EB0583"/>
    <w:rsid w:val="00F30806"/>
    <w:rsid w:val="00F432A5"/>
    <w:rsid w:val="00F558A9"/>
    <w:rsid w:val="00FD074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C0346"/>
  <w15:docId w15:val="{91229528-733F-43D8-85EC-4CDB33E2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MS Mincho"/>
    </w:rPr>
  </w:style>
  <w:style w:type="paragraph" w:styleId="Heading1">
    <w:name w:val="heading 1"/>
    <w:basedOn w:val="Normal"/>
    <w:next w:val="Normal"/>
    <w:link w:val="Heading1Char"/>
    <w:uiPriority w:val="9"/>
    <w:qFormat/>
    <w:pPr>
      <w:keepNext/>
      <w:spacing w:before="240" w:after="60"/>
      <w:outlineLvl w:val="0"/>
    </w:pPr>
    <w:rPr>
      <w:rFonts w:ascii="Calibri Light" w:eastAsia="Times New Roman" w:hAnsi="Calibri Light"/>
      <w:b/>
      <w:bCs/>
      <w:kern w:val="32"/>
      <w:sz w:val="32"/>
      <w:szCs w:val="32"/>
      <w:lang w:val="x-none" w:eastAsia="x-none"/>
    </w:rPr>
  </w:style>
  <w:style w:type="paragraph" w:styleId="Heading2">
    <w:name w:val="heading 2"/>
    <w:basedOn w:val="Normal"/>
    <w:next w:val="Normal"/>
    <w:link w:val="Heading2Char"/>
    <w:uiPriority w:val="9"/>
    <w:semiHidden/>
    <w:unhideWhenUsed/>
    <w:qFormat/>
    <w:rsid w:val="00D9300B"/>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023FEB"/>
    <w:pPr>
      <w:spacing w:line="276" w:lineRule="auto"/>
      <w:ind w:left="720" w:hanging="720"/>
      <w:jc w:val="both"/>
      <w:outlineLvl w:val="2"/>
    </w:pPr>
    <w:rPr>
      <w:rFonts w:eastAsia="Times New Roman"/>
      <w:sz w:val="18"/>
      <w:szCs w:val="18"/>
    </w:rPr>
  </w:style>
  <w:style w:type="paragraph" w:styleId="Heading4">
    <w:name w:val="heading 4"/>
    <w:basedOn w:val="Normal"/>
    <w:next w:val="Normal"/>
    <w:link w:val="Heading4Char"/>
    <w:uiPriority w:val="9"/>
    <w:semiHidden/>
    <w:unhideWhenUsed/>
    <w:qFormat/>
    <w:rsid w:val="00023FEB"/>
    <w:pPr>
      <w:keepNext/>
      <w:keepLines/>
      <w:spacing w:before="240" w:after="40" w:line="276" w:lineRule="auto"/>
      <w:jc w:val="both"/>
      <w:outlineLvl w:val="3"/>
    </w:pPr>
    <w:rPr>
      <w:rFonts w:eastAsia="Times New Roman"/>
      <w:b/>
    </w:rPr>
  </w:style>
  <w:style w:type="paragraph" w:styleId="Heading5">
    <w:name w:val="heading 5"/>
    <w:basedOn w:val="Normal"/>
    <w:next w:val="Normal"/>
    <w:link w:val="Heading5Char"/>
    <w:uiPriority w:val="9"/>
    <w:semiHidden/>
    <w:unhideWhenUsed/>
    <w:qFormat/>
    <w:rsid w:val="00023FEB"/>
    <w:pPr>
      <w:keepNext/>
      <w:keepLines/>
      <w:spacing w:before="220" w:after="40" w:line="276" w:lineRule="auto"/>
      <w:jc w:val="both"/>
      <w:outlineLvl w:val="4"/>
    </w:pPr>
    <w:rPr>
      <w:rFonts w:eastAsia="Times New Roman"/>
      <w:b/>
      <w:sz w:val="22"/>
      <w:szCs w:val="22"/>
    </w:rPr>
  </w:style>
  <w:style w:type="paragraph" w:styleId="Heading6">
    <w:name w:val="heading 6"/>
    <w:basedOn w:val="Normal"/>
    <w:next w:val="Normal"/>
    <w:link w:val="Heading6Char"/>
    <w:uiPriority w:val="9"/>
    <w:semiHidden/>
    <w:unhideWhenUsed/>
    <w:qFormat/>
    <w:rsid w:val="00023FEB"/>
    <w:pPr>
      <w:keepNext/>
      <w:keepLines/>
      <w:spacing w:before="200" w:after="40" w:line="276" w:lineRule="auto"/>
      <w:jc w:val="both"/>
      <w:outlineLvl w:val="5"/>
    </w:pPr>
    <w:rPr>
      <w:rFonts w:eastAsia="Times New Roman"/>
      <w:b/>
      <w:sz w:val="20"/>
      <w:szCs w:val="20"/>
    </w:rPr>
  </w:style>
  <w:style w:type="paragraph" w:styleId="Heading7">
    <w:name w:val="heading 7"/>
    <w:basedOn w:val="Normal"/>
    <w:next w:val="Normal"/>
    <w:link w:val="Heading7Char"/>
    <w:uiPriority w:val="9"/>
    <w:qFormat/>
    <w:pPr>
      <w:spacing w:before="240" w:after="60" w:line="276" w:lineRule="auto"/>
      <w:outlineLvl w:val="6"/>
    </w:pPr>
    <w:rPr>
      <w:rFonts w:ascii="Calibri" w:eastAsia="Times New Roman"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23FEB"/>
    <w:pPr>
      <w:spacing w:before="120" w:after="120" w:line="276" w:lineRule="auto"/>
      <w:jc w:val="both"/>
    </w:pPr>
    <w:rPr>
      <w:rFonts w:eastAsia="Times New Roman"/>
      <w:sz w:val="32"/>
      <w:szCs w:val="32"/>
    </w:rPr>
  </w:style>
  <w:style w:type="character" w:customStyle="1" w:styleId="FootnoteTextChar">
    <w:name w:val="Footnote Text Char"/>
    <w:link w:val="FootnoteText"/>
    <w:semiHidden/>
    <w:rPr>
      <w:rFonts w:eastAsia="MS Mincho"/>
    </w:rPr>
  </w:style>
  <w:style w:type="character" w:styleId="Hyperlink">
    <w:name w:val="Hyperlink"/>
    <w:uiPriority w:val="99"/>
    <w:qFormat/>
    <w:rPr>
      <w:color w:val="0000FF"/>
      <w:u w:val="single"/>
    </w:rPr>
  </w:style>
  <w:style w:type="character" w:customStyle="1" w:styleId="ListParagraphChar">
    <w:name w:val="List Paragraph Char"/>
    <w:aliases w:val="Body of text Char,List Paragraph1 Char,Body of text+1 Char,Body of text+2 Char,Body of text+3 Char,List Paragraph11 Char,Medium Grid 1 - Accent 21 Char,Skripsi Char,Colorful List - Accent 11 Char,HEADING 1 Char,Body of text1 Char"/>
    <w:link w:val="ListParagraph"/>
    <w:uiPriority w:val="34"/>
    <w:qFormat/>
    <w:locked/>
    <w:rPr>
      <w:rFonts w:eastAsia="MS Mincho"/>
      <w:sz w:val="24"/>
      <w:szCs w:val="24"/>
    </w:rPr>
  </w:style>
  <w:style w:type="character" w:styleId="FollowedHyperlink">
    <w:name w:val="FollowedHyperlink"/>
    <w:rPr>
      <w:color w:val="800080"/>
      <w:u w:val="single"/>
    </w:rPr>
  </w:style>
  <w:style w:type="character" w:customStyle="1" w:styleId="JEREauthorChar">
    <w:name w:val="JERE_author Char"/>
    <w:link w:val="JEREauthor"/>
    <w:rPr>
      <w:rFonts w:ascii="Cambria" w:hAnsi="Cambria"/>
      <w:b/>
      <w:sz w:val="24"/>
      <w:szCs w:val="24"/>
      <w:lang w:eastAsia="tr-TR"/>
    </w:rPr>
  </w:style>
  <w:style w:type="character" w:customStyle="1" w:styleId="EndnoteTextChar">
    <w:name w:val="Endnote Text Char"/>
    <w:link w:val="EndnoteText"/>
    <w:semiHidden/>
    <w:rPr>
      <w:rFonts w:eastAsia="MS Mincho"/>
    </w:rPr>
  </w:style>
  <w:style w:type="character" w:customStyle="1" w:styleId="FooterChar">
    <w:name w:val="Footer Char"/>
    <w:link w:val="Footer"/>
    <w:uiPriority w:val="99"/>
    <w:rPr>
      <w:rFonts w:eastAsia="MS Mincho"/>
      <w:sz w:val="24"/>
      <w:szCs w:val="24"/>
    </w:rPr>
  </w:style>
  <w:style w:type="character" w:customStyle="1" w:styleId="tlid-translation">
    <w:name w:val="tlid-translation"/>
  </w:style>
  <w:style w:type="character" w:styleId="Emphasis">
    <w:name w:val="Emphasis"/>
    <w:uiPriority w:val="20"/>
    <w:qFormat/>
    <w:rPr>
      <w:i/>
      <w:iCs/>
    </w:rPr>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BalloonTextChar">
    <w:name w:val="Balloon Text Char"/>
    <w:link w:val="BalloonText"/>
    <w:uiPriority w:val="99"/>
    <w:rPr>
      <w:rFonts w:ascii="Tahoma" w:eastAsia="MS Mincho" w:hAnsi="Tahoma" w:cs="Tahoma"/>
      <w:sz w:val="16"/>
      <w:szCs w:val="16"/>
    </w:rPr>
  </w:style>
  <w:style w:type="character" w:customStyle="1" w:styleId="JEREJudulChar">
    <w:name w:val="JERE_Judul Char"/>
    <w:link w:val="JEREJudul"/>
    <w:rPr>
      <w:rFonts w:ascii="Cambria" w:hAnsi="Cambria"/>
      <w:b/>
      <w:sz w:val="32"/>
      <w:lang w:eastAsia="tr-TR"/>
    </w:rPr>
  </w:style>
  <w:style w:type="character" w:customStyle="1" w:styleId="apple-converted-space">
    <w:name w:val="apple-converted-space"/>
    <w:basedOn w:val="DefaultParagraphFont"/>
  </w:style>
  <w:style w:type="character" w:customStyle="1" w:styleId="BodyText2Char">
    <w:name w:val="Body Text 2 Char"/>
    <w:link w:val="BodyText2"/>
    <w:uiPriority w:val="99"/>
    <w:rPr>
      <w:rFonts w:ascii="Calibri" w:eastAsia="Calibri" w:hAnsi="Calibri"/>
      <w:sz w:val="22"/>
      <w:szCs w:val="22"/>
    </w:rPr>
  </w:style>
  <w:style w:type="character" w:styleId="FootnoteReference">
    <w:name w:val="footnote reference"/>
    <w:unhideWhenUsed/>
    <w:rPr>
      <w:vertAlign w:val="superscript"/>
    </w:rPr>
  </w:style>
  <w:style w:type="character" w:customStyle="1" w:styleId="Heading7Char">
    <w:name w:val="Heading 7 Char"/>
    <w:link w:val="Heading7"/>
    <w:uiPriority w:val="9"/>
    <w:semiHidden/>
    <w:rPr>
      <w:rFonts w:ascii="Calibri" w:hAnsi="Calibri"/>
      <w:sz w:val="24"/>
      <w:szCs w:val="24"/>
    </w:rPr>
  </w:style>
  <w:style w:type="character" w:styleId="Strong">
    <w:name w:val="Strong"/>
    <w:uiPriority w:val="22"/>
    <w:qFormat/>
    <w:rPr>
      <w:b/>
      <w:bCs/>
    </w:rPr>
  </w:style>
  <w:style w:type="character" w:styleId="EndnoteReference">
    <w:name w:val="endnote reference"/>
    <w:unhideWhenUsed/>
    <w:rPr>
      <w:vertAlign w:val="superscript"/>
    </w:rPr>
  </w:style>
  <w:style w:type="character" w:customStyle="1" w:styleId="HeaderChar">
    <w:name w:val="Header Char"/>
    <w:link w:val="Header"/>
    <w:uiPriority w:val="99"/>
    <w:rPr>
      <w:rFonts w:eastAsia="MS Mincho"/>
      <w:sz w:val="24"/>
      <w:szCs w:val="24"/>
    </w:rPr>
  </w:style>
  <w:style w:type="paragraph" w:styleId="BodyText2">
    <w:name w:val="Body Text 2"/>
    <w:basedOn w:val="Normal"/>
    <w:link w:val="BodyText2Char"/>
    <w:uiPriority w:val="99"/>
    <w:unhideWhenUsed/>
    <w:pPr>
      <w:spacing w:after="120" w:line="480" w:lineRule="auto"/>
    </w:pPr>
    <w:rPr>
      <w:rFonts w:ascii="Calibri" w:eastAsia="Calibri" w:hAnsi="Calibri"/>
      <w:sz w:val="22"/>
      <w:szCs w:val="22"/>
      <w:lang w:val="x-none" w:eastAsia="x-none"/>
    </w:rPr>
  </w:style>
  <w:style w:type="paragraph" w:styleId="FootnoteText">
    <w:name w:val="footnote text"/>
    <w:basedOn w:val="Normal"/>
    <w:link w:val="FootnoteTextChar"/>
    <w:unhideWhenUsed/>
    <w:rPr>
      <w:sz w:val="20"/>
      <w:szCs w:val="20"/>
      <w:lang w:val="x-none" w:eastAsia="x-none"/>
    </w:rPr>
  </w:style>
  <w:style w:type="paragraph" w:customStyle="1" w:styleId="Default">
    <w:name w:val="Default"/>
    <w:pPr>
      <w:autoSpaceDE w:val="0"/>
      <w:autoSpaceDN w:val="0"/>
      <w:adjustRightInd w:val="0"/>
    </w:pPr>
    <w:rPr>
      <w:rFonts w:ascii="Arial" w:hAnsi="Arial" w:cs="Arial"/>
      <w:color w:val="000000"/>
    </w:rPr>
  </w:style>
  <w:style w:type="paragraph" w:customStyle="1" w:styleId="reference">
    <w:name w:val="reference"/>
    <w:basedOn w:val="Normal"/>
    <w:pPr>
      <w:keepLines/>
      <w:spacing w:line="220" w:lineRule="atLeast"/>
      <w:ind w:left="560" w:hanging="560"/>
      <w:jc w:val="both"/>
    </w:pPr>
    <w:rPr>
      <w:rFonts w:eastAsia="Times New Roman"/>
      <w:szCs w:val="20"/>
      <w:lang w:val="en-AU" w:eastAsia="tr-TR"/>
    </w:rPr>
  </w:style>
  <w:style w:type="paragraph" w:customStyle="1" w:styleId="JEREJudul">
    <w:name w:val="JERE_Judul"/>
    <w:basedOn w:val="Normal"/>
    <w:link w:val="JEREJudulChar"/>
    <w:qFormat/>
    <w:pPr>
      <w:ind w:right="190"/>
    </w:pPr>
    <w:rPr>
      <w:rFonts w:ascii="Cambria" w:eastAsia="Times New Roman" w:hAnsi="Cambria"/>
      <w:b/>
      <w:sz w:val="32"/>
      <w:szCs w:val="20"/>
      <w:lang w:val="x-none" w:eastAsia="tr-TR"/>
    </w:rPr>
  </w:style>
  <w:style w:type="paragraph" w:styleId="NormalWeb">
    <w:name w:val="Normal (Web)"/>
    <w:basedOn w:val="Normal"/>
    <w:uiPriority w:val="99"/>
    <w:unhideWhenUsed/>
    <w:pPr>
      <w:spacing w:before="100" w:beforeAutospacing="1" w:after="100" w:afterAutospacing="1"/>
    </w:pPr>
    <w:rPr>
      <w:rFonts w:eastAsia="Times New Roman"/>
    </w:rPr>
  </w:style>
  <w:style w:type="paragraph" w:styleId="BalloonText">
    <w:name w:val="Balloon Text"/>
    <w:basedOn w:val="Normal"/>
    <w:link w:val="BalloonTextChar"/>
    <w:rPr>
      <w:rFonts w:ascii="Tahoma" w:hAnsi="Tahoma"/>
      <w:sz w:val="16"/>
      <w:szCs w:val="16"/>
      <w:lang w:val="x-none" w:eastAsia="x-none"/>
    </w:rPr>
  </w:style>
  <w:style w:type="paragraph" w:styleId="Footer">
    <w:name w:val="footer"/>
    <w:basedOn w:val="Normal"/>
    <w:link w:val="FooterChar"/>
    <w:uiPriority w:val="99"/>
    <w:unhideWhenUsed/>
    <w:pPr>
      <w:tabs>
        <w:tab w:val="center" w:pos="4680"/>
        <w:tab w:val="right" w:pos="9360"/>
      </w:tabs>
    </w:pPr>
    <w:rPr>
      <w:lang w:val="x-none" w:eastAsia="x-none"/>
    </w:rPr>
  </w:style>
  <w:style w:type="paragraph" w:styleId="EndnoteText">
    <w:name w:val="endnote text"/>
    <w:basedOn w:val="Normal"/>
    <w:link w:val="EndnoteTextChar"/>
    <w:unhideWhenUsed/>
    <w:rPr>
      <w:sz w:val="20"/>
      <w:szCs w:val="20"/>
      <w:lang w:val="x-none" w:eastAsia="x-none"/>
    </w:rPr>
  </w:style>
  <w:style w:type="paragraph" w:styleId="BodyTextIndent3">
    <w:name w:val="Body Text Indent 3"/>
    <w:basedOn w:val="Normal"/>
    <w:link w:val="BodyTextIndent3Char"/>
    <w:pPr>
      <w:ind w:firstLine="360"/>
      <w:jc w:val="both"/>
    </w:pPr>
  </w:style>
  <w:style w:type="paragraph" w:styleId="Bibliography">
    <w:name w:val="Bibliography"/>
    <w:basedOn w:val="Normal"/>
    <w:next w:val="Normal"/>
    <w:uiPriority w:val="37"/>
    <w:unhideWhenUsed/>
  </w:style>
  <w:style w:type="paragraph" w:styleId="ListParagraph">
    <w:name w:val="List Paragraph"/>
    <w:aliases w:val="Body of text,List Paragraph1,Body of text+1,Body of text+2,Body of text+3,List Paragraph11,Medium Grid 1 - Accent 21,Skripsi,Colorful List - Accent 11,HEADING 1,Body of text1,Body of textCxSp,rpp3,KEPALA 3,kepala 1,KEPALA 31,Body of text2"/>
    <w:basedOn w:val="Normal"/>
    <w:link w:val="ListParagraphChar"/>
    <w:uiPriority w:val="34"/>
    <w:qFormat/>
    <w:pPr>
      <w:spacing w:after="200" w:line="276" w:lineRule="auto"/>
      <w:ind w:left="720"/>
      <w:contextualSpacing/>
    </w:pPr>
    <w:rPr>
      <w:lang w:val="x-none" w:eastAsia="x-none"/>
    </w:rPr>
  </w:style>
  <w:style w:type="paragraph" w:customStyle="1" w:styleId="JEREauthor">
    <w:name w:val="JERE_author"/>
    <w:basedOn w:val="Normal"/>
    <w:link w:val="JEREauthorChar"/>
    <w:qFormat/>
    <w:pPr>
      <w:spacing w:line="360" w:lineRule="auto"/>
      <w:ind w:right="193"/>
    </w:pPr>
    <w:rPr>
      <w:rFonts w:ascii="Cambria" w:eastAsia="Times New Roman" w:hAnsi="Cambria"/>
      <w:b/>
      <w:lang w:val="x-none" w:eastAsia="tr-TR"/>
    </w:rPr>
  </w:style>
  <w:style w:type="paragraph" w:customStyle="1" w:styleId="abstract">
    <w:name w:val="abstract"/>
    <w:basedOn w:val="Normal"/>
    <w:pPr>
      <w:spacing w:before="120" w:line="220" w:lineRule="atLeast"/>
      <w:ind w:left="567" w:right="526"/>
      <w:jc w:val="both"/>
    </w:pPr>
    <w:rPr>
      <w:rFonts w:eastAsia="Times New Roman"/>
      <w:i/>
      <w:szCs w:val="20"/>
      <w:lang w:val="en-AU" w:eastAsia="tr-TR"/>
    </w:rPr>
  </w:style>
  <w:style w:type="paragraph" w:styleId="NoSpacing">
    <w:name w:val="No Spacing"/>
    <w:link w:val="NoSpacingChar"/>
    <w:uiPriority w:val="1"/>
    <w:qFormat/>
    <w:rPr>
      <w:rFonts w:ascii="Calibri" w:eastAsia="Calibri" w:hAnsi="Calibri"/>
      <w:sz w:val="22"/>
      <w:szCs w:val="22"/>
    </w:rPr>
  </w:style>
  <w:style w:type="paragraph" w:styleId="Header">
    <w:name w:val="header"/>
    <w:basedOn w:val="Normal"/>
    <w:link w:val="HeaderChar"/>
    <w:uiPriority w:val="99"/>
    <w:unhideWhenUsed/>
    <w:pPr>
      <w:tabs>
        <w:tab w:val="center" w:pos="4680"/>
        <w:tab w:val="right" w:pos="9360"/>
      </w:tabs>
    </w:pPr>
    <w:rPr>
      <w:lang w:val="x-none" w:eastAsia="x-none"/>
    </w:rPr>
  </w:style>
  <w:style w:type="character" w:customStyle="1" w:styleId="UnresolvedMention1">
    <w:name w:val="Unresolved Mention1"/>
    <w:uiPriority w:val="99"/>
    <w:semiHidden/>
    <w:unhideWhenUsed/>
    <w:rsid w:val="00144C6F"/>
    <w:rPr>
      <w:color w:val="605E5C"/>
      <w:shd w:val="clear" w:color="auto" w:fill="E1DFDD"/>
    </w:rPr>
  </w:style>
  <w:style w:type="character" w:customStyle="1" w:styleId="fontstyle01">
    <w:name w:val="fontstyle01"/>
    <w:rsid w:val="001445D8"/>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rsid w:val="001445D8"/>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445D8"/>
    <w:pPr>
      <w:spacing w:after="200"/>
    </w:pPr>
    <w:rPr>
      <w:rFonts w:ascii="Calibri" w:eastAsia="Times New Roman" w:hAnsi="Calibri"/>
      <w:b/>
      <w:bCs/>
      <w:color w:val="4F81BD"/>
      <w:sz w:val="18"/>
      <w:szCs w:val="18"/>
    </w:rPr>
  </w:style>
  <w:style w:type="character" w:customStyle="1" w:styleId="Heading2Char">
    <w:name w:val="Heading 2 Char"/>
    <w:link w:val="Heading2"/>
    <w:semiHidden/>
    <w:rsid w:val="00D9300B"/>
    <w:rPr>
      <w:rFonts w:ascii="Calibri Light" w:eastAsia="Times New Roman" w:hAnsi="Calibri Light" w:cs="Times New Roman"/>
      <w:b/>
      <w:bCs/>
      <w:i/>
      <w:iCs/>
      <w:sz w:val="28"/>
      <w:szCs w:val="28"/>
      <w:lang w:val="en-US" w:eastAsia="en-US"/>
    </w:rPr>
  </w:style>
  <w:style w:type="paragraph" w:styleId="BodyText">
    <w:name w:val="Body Text"/>
    <w:basedOn w:val="Normal"/>
    <w:link w:val="BodyTextChar"/>
    <w:semiHidden/>
    <w:unhideWhenUsed/>
    <w:rsid w:val="008774EF"/>
    <w:pPr>
      <w:spacing w:after="120"/>
    </w:pPr>
  </w:style>
  <w:style w:type="character" w:customStyle="1" w:styleId="BodyTextChar">
    <w:name w:val="Body Text Char"/>
    <w:link w:val="BodyText"/>
    <w:semiHidden/>
    <w:rsid w:val="008774EF"/>
    <w:rPr>
      <w:rFonts w:eastAsia="MS Mincho"/>
      <w:sz w:val="24"/>
      <w:szCs w:val="24"/>
      <w:lang w:val="en-US" w:eastAsia="en-US"/>
    </w:rPr>
  </w:style>
  <w:style w:type="table" w:styleId="LightShading">
    <w:name w:val="Light Shading"/>
    <w:basedOn w:val="TableNormal"/>
    <w:uiPriority w:val="60"/>
    <w:rsid w:val="008774E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
    <w:name w:val="Plain Table 21"/>
    <w:basedOn w:val="TableNormal"/>
    <w:next w:val="PlainTable2"/>
    <w:uiPriority w:val="42"/>
    <w:rsid w:val="008C751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8C751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JPEBody">
    <w:name w:val="JPE_Body"/>
    <w:basedOn w:val="Normal"/>
    <w:qFormat/>
    <w:rsid w:val="000B3C56"/>
    <w:pPr>
      <w:ind w:firstLine="567"/>
      <w:jc w:val="both"/>
    </w:pPr>
    <w:rPr>
      <w:rFonts w:eastAsia="Times New Roman"/>
      <w:sz w:val="22"/>
      <w:lang w:val="id-ID"/>
    </w:rPr>
  </w:style>
  <w:style w:type="paragraph" w:customStyle="1" w:styleId="TableParagraph">
    <w:name w:val="Table Paragraph"/>
    <w:basedOn w:val="Normal"/>
    <w:uiPriority w:val="1"/>
    <w:qFormat/>
    <w:rsid w:val="006E71D7"/>
    <w:pPr>
      <w:widowControl w:val="0"/>
      <w:autoSpaceDE w:val="0"/>
      <w:autoSpaceDN w:val="0"/>
    </w:pPr>
    <w:rPr>
      <w:rFonts w:eastAsia="Times New Roman"/>
      <w:sz w:val="22"/>
      <w:szCs w:val="22"/>
      <w:lang w:val="id"/>
    </w:rPr>
  </w:style>
  <w:style w:type="character" w:customStyle="1" w:styleId="apple-tab-span">
    <w:name w:val="apple-tab-span"/>
    <w:rsid w:val="00A22934"/>
  </w:style>
  <w:style w:type="paragraph" w:styleId="HTMLPreformatted">
    <w:name w:val="HTML Preformatted"/>
    <w:basedOn w:val="Normal"/>
    <w:link w:val="HTMLPreformattedChar"/>
    <w:uiPriority w:val="99"/>
    <w:unhideWhenUsed/>
    <w:rsid w:val="002A2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id-ID"/>
    </w:rPr>
  </w:style>
  <w:style w:type="character" w:customStyle="1" w:styleId="HTMLPreformattedChar">
    <w:name w:val="HTML Preformatted Char"/>
    <w:link w:val="HTMLPreformatted"/>
    <w:uiPriority w:val="99"/>
    <w:rsid w:val="002A29AF"/>
    <w:rPr>
      <w:rFonts w:ascii="Courier New" w:hAnsi="Courier New"/>
      <w:lang w:val="en-US" w:eastAsia="id-ID"/>
    </w:rPr>
  </w:style>
  <w:style w:type="character" w:styleId="CommentReference">
    <w:name w:val="annotation reference"/>
    <w:unhideWhenUsed/>
    <w:rsid w:val="00796067"/>
    <w:rPr>
      <w:sz w:val="16"/>
      <w:szCs w:val="16"/>
    </w:rPr>
  </w:style>
  <w:style w:type="character" w:customStyle="1" w:styleId="jlqj4b">
    <w:name w:val="jlqj4b"/>
    <w:rsid w:val="00B142E4"/>
  </w:style>
  <w:style w:type="table" w:customStyle="1" w:styleId="TableGrid1">
    <w:name w:val="Table Grid1"/>
    <w:basedOn w:val="TableNormal"/>
    <w:next w:val="TableGrid"/>
    <w:uiPriority w:val="59"/>
    <w:qFormat/>
    <w:rsid w:val="001C161B"/>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C161B"/>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272A27"/>
  </w:style>
  <w:style w:type="paragraph" w:styleId="CommentText">
    <w:name w:val="annotation text"/>
    <w:basedOn w:val="Normal"/>
    <w:link w:val="CommentTextChar"/>
    <w:unhideWhenUsed/>
    <w:rsid w:val="00F9662C"/>
    <w:rPr>
      <w:sz w:val="20"/>
      <w:szCs w:val="20"/>
    </w:rPr>
  </w:style>
  <w:style w:type="character" w:customStyle="1" w:styleId="CommentTextChar">
    <w:name w:val="Comment Text Char"/>
    <w:link w:val="CommentText"/>
    <w:rsid w:val="00F9662C"/>
    <w:rPr>
      <w:rFonts w:eastAsia="MS Mincho"/>
      <w:lang w:val="en-US"/>
    </w:rPr>
  </w:style>
  <w:style w:type="paragraph" w:styleId="CommentSubject">
    <w:name w:val="annotation subject"/>
    <w:basedOn w:val="CommentText"/>
    <w:next w:val="CommentText"/>
    <w:link w:val="CommentSubjectChar"/>
    <w:unhideWhenUsed/>
    <w:rsid w:val="00F9662C"/>
    <w:rPr>
      <w:b/>
      <w:bCs/>
    </w:rPr>
  </w:style>
  <w:style w:type="character" w:customStyle="1" w:styleId="CommentSubjectChar">
    <w:name w:val="Comment Subject Char"/>
    <w:link w:val="CommentSubject"/>
    <w:rsid w:val="00F9662C"/>
    <w:rPr>
      <w:rFonts w:eastAsia="MS Mincho"/>
      <w:b/>
      <w:bCs/>
      <w:lang w:val="en-US"/>
    </w:rPr>
  </w:style>
  <w:style w:type="character" w:customStyle="1" w:styleId="markedcontent">
    <w:name w:val="markedcontent"/>
    <w:rsid w:val="00FF4BD4"/>
  </w:style>
  <w:style w:type="character" w:customStyle="1" w:styleId="NoSpacingChar">
    <w:name w:val="No Spacing Char"/>
    <w:link w:val="NoSpacing"/>
    <w:uiPriority w:val="1"/>
    <w:rsid w:val="009B6416"/>
    <w:rPr>
      <w:rFonts w:ascii="Calibri" w:eastAsia="Calibri" w:hAnsi="Calibri"/>
      <w:sz w:val="22"/>
      <w:szCs w:val="22"/>
    </w:rPr>
  </w:style>
  <w:style w:type="paragraph" w:customStyle="1" w:styleId="Style2">
    <w:name w:val="Style 2"/>
    <w:uiPriority w:val="99"/>
    <w:rsid w:val="00F974A4"/>
    <w:pPr>
      <w:widowControl w:val="0"/>
      <w:autoSpaceDE w:val="0"/>
      <w:autoSpaceDN w:val="0"/>
      <w:spacing w:line="480" w:lineRule="auto"/>
      <w:ind w:firstLine="720"/>
      <w:jc w:val="both"/>
    </w:pPr>
    <w:rPr>
      <w:rFonts w:ascii="Calibri" w:hAnsi="Calibri" w:cs="Calibri"/>
    </w:rPr>
  </w:style>
  <w:style w:type="character" w:customStyle="1" w:styleId="CharacterStyle1">
    <w:name w:val="Character Style 1"/>
    <w:uiPriority w:val="99"/>
    <w:rsid w:val="00F974A4"/>
    <w:rPr>
      <w:sz w:val="24"/>
    </w:rPr>
  </w:style>
  <w:style w:type="character" w:customStyle="1" w:styleId="y2iqfc">
    <w:name w:val="y2iqfc"/>
    <w:rsid w:val="00793B6B"/>
  </w:style>
  <w:style w:type="character" w:customStyle="1" w:styleId="a-declarative">
    <w:name w:val="a-declarative"/>
    <w:rsid w:val="00A24B30"/>
  </w:style>
  <w:style w:type="table" w:customStyle="1" w:styleId="TableGrid3">
    <w:name w:val="Table Grid3"/>
    <w:basedOn w:val="TableNormal"/>
    <w:next w:val="TableGrid"/>
    <w:rsid w:val="00710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Figure">
    <w:name w:val="IEEE Figure"/>
    <w:basedOn w:val="Normal"/>
    <w:next w:val="Normal"/>
    <w:rsid w:val="00D86DF4"/>
    <w:pPr>
      <w:jc w:val="center"/>
    </w:pPr>
    <w:rPr>
      <w:rFonts w:eastAsia="SimSun"/>
      <w:lang w:val="en-AU" w:eastAsia="zh-CN"/>
    </w:rPr>
  </w:style>
  <w:style w:type="character" w:customStyle="1" w:styleId="mediumtext">
    <w:name w:val="medium_text"/>
    <w:basedOn w:val="DefaultParagraphFont"/>
    <w:rsid w:val="00D86DF4"/>
  </w:style>
  <w:style w:type="table" w:customStyle="1" w:styleId="TableGrid4">
    <w:name w:val="Table Grid4"/>
    <w:basedOn w:val="TableNormal"/>
    <w:next w:val="TableGrid"/>
    <w:uiPriority w:val="39"/>
    <w:rsid w:val="00B27C75"/>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137D71"/>
  </w:style>
  <w:style w:type="table" w:customStyle="1" w:styleId="TableGrid5">
    <w:name w:val="Table Grid5"/>
    <w:basedOn w:val="TableNormal"/>
    <w:next w:val="TableGrid"/>
    <w:uiPriority w:val="59"/>
    <w:qFormat/>
    <w:rsid w:val="00F5227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F5227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A5FC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32BFA"/>
    <w:rPr>
      <w:rFonts w:asciiTheme="minorHAnsi" w:eastAsiaTheme="minorHAnsi" w:hAnsiTheme="minorHAnsi" w:cstheme="minorBidi"/>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32BFA"/>
    <w:rPr>
      <w:rFonts w:asciiTheme="minorHAnsi" w:eastAsiaTheme="minorHAnsi" w:hAnsiTheme="minorHAnsi" w:cstheme="minorBidi"/>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unhideWhenUsed/>
    <w:rsid w:val="00AA29DC"/>
    <w:pPr>
      <w:spacing w:after="120"/>
      <w:ind w:left="360"/>
    </w:pPr>
  </w:style>
  <w:style w:type="character" w:customStyle="1" w:styleId="BodyTextIndentChar">
    <w:name w:val="Body Text Indent Char"/>
    <w:basedOn w:val="DefaultParagraphFont"/>
    <w:link w:val="BodyTextIndent"/>
    <w:semiHidden/>
    <w:rsid w:val="00AA29DC"/>
    <w:rPr>
      <w:rFonts w:eastAsia="MS Mincho"/>
      <w:sz w:val="24"/>
      <w:szCs w:val="24"/>
    </w:rPr>
  </w:style>
  <w:style w:type="paragraph" w:styleId="BodyTextIndent2">
    <w:name w:val="Body Text Indent 2"/>
    <w:basedOn w:val="Normal"/>
    <w:link w:val="BodyTextIndent2Char"/>
    <w:semiHidden/>
    <w:unhideWhenUsed/>
    <w:rsid w:val="00AA29DC"/>
    <w:pPr>
      <w:spacing w:after="120" w:line="480" w:lineRule="auto"/>
      <w:ind w:left="360"/>
    </w:pPr>
  </w:style>
  <w:style w:type="character" w:customStyle="1" w:styleId="BodyTextIndent2Char">
    <w:name w:val="Body Text Indent 2 Char"/>
    <w:basedOn w:val="DefaultParagraphFont"/>
    <w:link w:val="BodyTextIndent2"/>
    <w:semiHidden/>
    <w:rsid w:val="00AA29DC"/>
    <w:rPr>
      <w:rFonts w:eastAsia="MS Mincho"/>
      <w:sz w:val="24"/>
      <w:szCs w:val="24"/>
    </w:rPr>
  </w:style>
  <w:style w:type="character" w:customStyle="1" w:styleId="BodyTextIndent3Char">
    <w:name w:val="Body Text Indent 3 Char"/>
    <w:basedOn w:val="DefaultParagraphFont"/>
    <w:link w:val="BodyTextIndent3"/>
    <w:rsid w:val="00AA29DC"/>
    <w:rPr>
      <w:rFonts w:eastAsia="MS Mincho"/>
      <w:sz w:val="24"/>
      <w:szCs w:val="24"/>
    </w:rPr>
  </w:style>
  <w:style w:type="character" w:customStyle="1" w:styleId="Heading3Char">
    <w:name w:val="Heading 3 Char"/>
    <w:basedOn w:val="DefaultParagraphFont"/>
    <w:link w:val="Heading3"/>
    <w:rsid w:val="00023FEB"/>
    <w:rPr>
      <w:sz w:val="18"/>
      <w:szCs w:val="18"/>
      <w:lang w:eastAsia="en-ID"/>
    </w:rPr>
  </w:style>
  <w:style w:type="character" w:customStyle="1" w:styleId="Heading4Char">
    <w:name w:val="Heading 4 Char"/>
    <w:basedOn w:val="DefaultParagraphFont"/>
    <w:link w:val="Heading4"/>
    <w:rsid w:val="00023FEB"/>
    <w:rPr>
      <w:b/>
      <w:sz w:val="24"/>
      <w:szCs w:val="24"/>
      <w:lang w:eastAsia="en-ID"/>
    </w:rPr>
  </w:style>
  <w:style w:type="character" w:customStyle="1" w:styleId="Heading5Char">
    <w:name w:val="Heading 5 Char"/>
    <w:basedOn w:val="DefaultParagraphFont"/>
    <w:link w:val="Heading5"/>
    <w:rsid w:val="00023FEB"/>
    <w:rPr>
      <w:b/>
      <w:sz w:val="22"/>
      <w:szCs w:val="22"/>
      <w:lang w:eastAsia="en-ID"/>
    </w:rPr>
  </w:style>
  <w:style w:type="character" w:customStyle="1" w:styleId="Heading6Char">
    <w:name w:val="Heading 6 Char"/>
    <w:basedOn w:val="DefaultParagraphFont"/>
    <w:link w:val="Heading6"/>
    <w:rsid w:val="00023FEB"/>
    <w:rPr>
      <w:b/>
      <w:lang w:eastAsia="en-ID"/>
    </w:rPr>
  </w:style>
  <w:style w:type="numbering" w:customStyle="1" w:styleId="NoList1">
    <w:name w:val="No List1"/>
    <w:next w:val="NoList"/>
    <w:uiPriority w:val="99"/>
    <w:semiHidden/>
    <w:unhideWhenUsed/>
    <w:rsid w:val="00023FEB"/>
  </w:style>
  <w:style w:type="paragraph" w:styleId="Subtitle">
    <w:name w:val="Subtitle"/>
    <w:basedOn w:val="Normal"/>
    <w:next w:val="Normal"/>
    <w:link w:val="SubtitleChar"/>
    <w:uiPriority w:val="11"/>
    <w:qFormat/>
    <w:pPr>
      <w:keepNext/>
      <w:keepLines/>
      <w:spacing w:before="360" w:after="80" w:line="276" w:lineRule="auto"/>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rsid w:val="00023FEB"/>
    <w:rPr>
      <w:rFonts w:ascii="Georgia" w:eastAsia="Georgia" w:hAnsi="Georgia" w:cs="Georgia"/>
      <w:i/>
      <w:color w:val="666666"/>
      <w:sz w:val="48"/>
      <w:szCs w:val="48"/>
      <w:lang w:eastAsia="en-ID"/>
    </w:rPr>
  </w:style>
  <w:style w:type="character" w:customStyle="1" w:styleId="TitleChar">
    <w:name w:val="Title Char"/>
    <w:basedOn w:val="DefaultParagraphFont"/>
    <w:link w:val="Title"/>
    <w:rsid w:val="00023FEB"/>
    <w:rPr>
      <w:sz w:val="32"/>
      <w:szCs w:val="32"/>
      <w:lang w:eastAsia="en-ID"/>
    </w:rPr>
  </w:style>
  <w:style w:type="table" w:customStyle="1" w:styleId="TableNormal1">
    <w:name w:val="Table Normal1"/>
    <w:qFormat/>
    <w:rsid w:val="00023FEB"/>
    <w:rPr>
      <w:rFonts w:ascii="Cambria" w:eastAsia="SimSun" w:hAnsi="Cambria"/>
      <w:lang w:val="en-ID"/>
    </w:rPr>
    <w:tblPr>
      <w:tblCellMar>
        <w:top w:w="0" w:type="dxa"/>
        <w:left w:w="0" w:type="dxa"/>
        <w:bottom w:w="0" w:type="dxa"/>
        <w:right w:w="0" w:type="dxa"/>
      </w:tblCellMar>
    </w:tblPr>
  </w:style>
  <w:style w:type="table" w:customStyle="1" w:styleId="Style10">
    <w:name w:val="_Style 10"/>
    <w:basedOn w:val="TableNormal1"/>
    <w:qFormat/>
    <w:rsid w:val="00023FEB"/>
    <w:tblPr>
      <w:tblCellMar>
        <w:left w:w="108" w:type="dxa"/>
        <w:right w:w="108" w:type="dxa"/>
      </w:tblCellMar>
    </w:tblPr>
  </w:style>
  <w:style w:type="table" w:customStyle="1" w:styleId="Style11">
    <w:name w:val="_Style 11"/>
    <w:basedOn w:val="TableNormal1"/>
    <w:rsid w:val="00023FEB"/>
    <w:tblPr>
      <w:tblCellMar>
        <w:left w:w="108" w:type="dxa"/>
        <w:right w:w="108" w:type="dxa"/>
      </w:tblCellMar>
    </w:tblPr>
  </w:style>
  <w:style w:type="table" w:customStyle="1" w:styleId="Style12">
    <w:name w:val="_Style 12"/>
    <w:basedOn w:val="TableNormal1"/>
    <w:rsid w:val="00023FEB"/>
    <w:tblPr>
      <w:tblCellMar>
        <w:left w:w="108" w:type="dxa"/>
        <w:right w:w="108" w:type="dxa"/>
      </w:tblCellMar>
    </w:tblPr>
  </w:style>
  <w:style w:type="table" w:customStyle="1" w:styleId="Style13">
    <w:name w:val="_Style 13"/>
    <w:basedOn w:val="TableNormal1"/>
    <w:qFormat/>
    <w:rsid w:val="00023FEB"/>
    <w:tblPr>
      <w:tblCellMar>
        <w:left w:w="108" w:type="dxa"/>
        <w:right w:w="108" w:type="dxa"/>
      </w:tblCellMar>
    </w:tblPr>
  </w:style>
  <w:style w:type="table" w:customStyle="1" w:styleId="Style14">
    <w:name w:val="_Style 14"/>
    <w:basedOn w:val="TableNormal1"/>
    <w:rsid w:val="00023FEB"/>
    <w:tblPr>
      <w:tblCellMar>
        <w:left w:w="108" w:type="dxa"/>
        <w:right w:w="108" w:type="dxa"/>
      </w:tblCellMar>
    </w:tblPr>
  </w:style>
  <w:style w:type="table" w:customStyle="1" w:styleId="Style15">
    <w:name w:val="_Style 15"/>
    <w:basedOn w:val="TableNormal1"/>
    <w:qFormat/>
    <w:rsid w:val="00023FEB"/>
    <w:tblPr>
      <w:tblCellMar>
        <w:left w:w="108" w:type="dxa"/>
        <w:right w:w="108" w:type="dxa"/>
      </w:tblCellMar>
    </w:tblPr>
  </w:style>
  <w:style w:type="table" w:customStyle="1" w:styleId="Style16">
    <w:name w:val="_Style 16"/>
    <w:basedOn w:val="TableNormal1"/>
    <w:rsid w:val="00023FEB"/>
    <w:tblPr>
      <w:tblCellMar>
        <w:left w:w="108" w:type="dxa"/>
        <w:right w:w="108" w:type="dxa"/>
      </w:tblCellMar>
    </w:tblPr>
  </w:style>
  <w:style w:type="table" w:customStyle="1" w:styleId="Style17">
    <w:name w:val="_Style 17"/>
    <w:basedOn w:val="TableNormal1"/>
    <w:qFormat/>
    <w:rsid w:val="00023FEB"/>
    <w:tblPr>
      <w:tblCellMar>
        <w:left w:w="108" w:type="dxa"/>
        <w:right w:w="108" w:type="dxa"/>
      </w:tblCellMar>
    </w:tblPr>
  </w:style>
  <w:style w:type="table" w:customStyle="1" w:styleId="Style18">
    <w:name w:val="_Style 18"/>
    <w:basedOn w:val="TableNormal1"/>
    <w:rsid w:val="00023FEB"/>
    <w:tblPr>
      <w:tblCellMar>
        <w:left w:w="108" w:type="dxa"/>
        <w:right w:w="108" w:type="dxa"/>
      </w:tblCellMar>
    </w:tblPr>
  </w:style>
  <w:style w:type="table" w:customStyle="1" w:styleId="Style19">
    <w:name w:val="_Style 19"/>
    <w:basedOn w:val="TableNormal1"/>
    <w:qFormat/>
    <w:rsid w:val="00023FEB"/>
    <w:tblPr>
      <w:tblCellMar>
        <w:left w:w="108" w:type="dxa"/>
        <w:right w:w="108" w:type="dxa"/>
      </w:tblCellMar>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Calibri" w:eastAsia="Calibri" w:hAnsi="Calibri" w:cs="Calibri"/>
      <w:color w:val="000000"/>
      <w:sz w:val="22"/>
      <w:szCs w:val="22"/>
    </w:r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1B55DF"/>
    <w:rPr>
      <w:color w:val="605E5C"/>
      <w:shd w:val="clear" w:color="auto" w:fill="E1DFDD"/>
    </w:rPr>
  </w:style>
  <w:style w:type="character" w:customStyle="1" w:styleId="katex-mathml">
    <w:name w:val="katex-mathml"/>
    <w:basedOn w:val="DefaultParagraphFont"/>
    <w:rsid w:val="00467989"/>
  </w:style>
  <w:style w:type="character" w:customStyle="1" w:styleId="mord">
    <w:name w:val="mord"/>
    <w:basedOn w:val="DefaultParagraphFont"/>
    <w:rsid w:val="00467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56082">
      <w:bodyDiv w:val="1"/>
      <w:marLeft w:val="0"/>
      <w:marRight w:val="0"/>
      <w:marTop w:val="0"/>
      <w:marBottom w:val="0"/>
      <w:divBdr>
        <w:top w:val="none" w:sz="0" w:space="0" w:color="auto"/>
        <w:left w:val="none" w:sz="0" w:space="0" w:color="auto"/>
        <w:bottom w:val="none" w:sz="0" w:space="0" w:color="auto"/>
        <w:right w:val="none" w:sz="0" w:space="0" w:color="auto"/>
      </w:divBdr>
    </w:div>
    <w:div w:id="1616013189">
      <w:bodyDiv w:val="1"/>
      <w:marLeft w:val="0"/>
      <w:marRight w:val="0"/>
      <w:marTop w:val="0"/>
      <w:marBottom w:val="0"/>
      <w:divBdr>
        <w:top w:val="none" w:sz="0" w:space="0" w:color="auto"/>
        <w:left w:val="none" w:sz="0" w:space="0" w:color="auto"/>
        <w:bottom w:val="none" w:sz="0" w:space="0" w:color="auto"/>
        <w:right w:val="none" w:sz="0" w:space="0" w:color="auto"/>
      </w:divBdr>
    </w:div>
    <w:div w:id="1664354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mailto:manikayu@unipasby.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z8bk4MKyXjGldEkwMdrNE17V4g==">AMUW2mVl8A2jy1bPGEmw3KHUp1xlk4ibKi9U0HtW6LThtvrYRRIn/pOOkdFTgcjoXm8wR8f6xozbaOtdzha3+1mvENUH21Qar7wnp7IqK5W2soBhJRJcQXVvHLpvfIgE5FS26IqrSKNt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2A5B17-0849-4EC4-9925-086BEA915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9</Pages>
  <Words>14353</Words>
  <Characters>81815</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Muhammad Abdul Jumali</cp:lastModifiedBy>
  <cp:revision>20</cp:revision>
  <dcterms:created xsi:type="dcterms:W3CDTF">2026-05-09T03:28:00Z</dcterms:created>
  <dcterms:modified xsi:type="dcterms:W3CDTF">2026-05-10T01:33:00Z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http://csl.mendeley.com/styles/464584951/apa-5</vt:lpwstr>
  </property>
  <property fmtid="{D5CDD505-2E9C-101B-9397-08002B2CF9AE}" pid="7" name="Mendeley Recent Style Name 2_1">
    <vt:lpwstr>American Psychological Association 7th edition - MUHAMAD ABDUL JUMALI5</vt:lpwstr>
  </property>
  <property fmtid="{D5CDD505-2E9C-101B-9397-08002B2CF9AE}" pid="8" name="Mendeley Recent Style Id 3_1">
    <vt:lpwstr>http://csl.mendeley.com/styles/464584951/apa-6th-edition-9</vt:lpwstr>
  </property>
  <property fmtid="{D5CDD505-2E9C-101B-9397-08002B2CF9AE}" pid="9" name="Mendeley Recent Style Name 3_1">
    <vt:lpwstr>American Psychological Association 8th edition_edited </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http://www.zotero.org/styles/springer-lecture-notes-in-computer-science</vt:lpwstr>
  </property>
  <property fmtid="{D5CDD505-2E9C-101B-9397-08002B2CF9AE}" pid="19" name="Mendeley Recent Style Name 8_1">
    <vt:lpwstr>Springer - Lecture Notes in Computer Science</vt:lpwstr>
  </property>
  <property fmtid="{D5CDD505-2E9C-101B-9397-08002B2CF9AE}" pid="20" name="Mendeley Recent Style Id 9_1">
    <vt:lpwstr>http://www.zotero.org/styles/taylor-and-francis-apa</vt:lpwstr>
  </property>
  <property fmtid="{D5CDD505-2E9C-101B-9397-08002B2CF9AE}" pid="21" name="Mendeley Recent Style Name 9_1">
    <vt:lpwstr>Taylor &amp; Francis - APA</vt:lpwstr>
  </property>
  <property fmtid="{D5CDD505-2E9C-101B-9397-08002B2CF9AE}" pid="22" name="Mendeley Document_1">
    <vt:lpwstr>True</vt:lpwstr>
  </property>
  <property fmtid="{D5CDD505-2E9C-101B-9397-08002B2CF9AE}" pid="23" name="Mendeley Unique User Id_1">
    <vt:lpwstr>fa86c571-15d1-341e-b602-1c0ef0d73c99</vt:lpwstr>
  </property>
  <property fmtid="{D5CDD505-2E9C-101B-9397-08002B2CF9AE}" pid="24" name="Mendeley Citation Style_1">
    <vt:lpwstr>http://www.zotero.org/styles/ieee</vt:lpwstr>
  </property>
  <property fmtid="{D5CDD505-2E9C-101B-9397-08002B2CF9AE}" pid="25" name="KSOProductBuildVer">
    <vt:lpwstr>1033-9.1.0.4480</vt:lpwstr>
  </property>
</Properties>
</file>